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7EEE6" w14:textId="77777777" w:rsidR="00654E8F" w:rsidRPr="001549D3" w:rsidRDefault="00654E8F" w:rsidP="00F4503F">
      <w:pPr>
        <w:pStyle w:val="SupplementaryMaterial"/>
        <w:spacing w:line="360" w:lineRule="auto"/>
        <w:rPr>
          <w:b w:val="0"/>
        </w:rPr>
      </w:pPr>
      <w:r w:rsidRPr="001549D3">
        <w:t>Supplementary Material</w:t>
      </w:r>
    </w:p>
    <w:p w14:paraId="7D002A8F" w14:textId="5D928FDF" w:rsidR="00D81528" w:rsidRDefault="00D81528" w:rsidP="005E1DD5">
      <w:pPr>
        <w:pStyle w:val="Heading1"/>
        <w:spacing w:line="360" w:lineRule="auto"/>
      </w:pPr>
      <w:r>
        <w:t xml:space="preserve">Supplementary Text 1: </w:t>
      </w:r>
      <w:r w:rsidR="005E1DD5">
        <w:t xml:space="preserve">brief </w:t>
      </w:r>
      <w:r>
        <w:t>description of buccal sample collection for (epi)genetics in ACTION in the Netherlands Twin Register</w:t>
      </w:r>
    </w:p>
    <w:p w14:paraId="2175CEED" w14:textId="2F977BC9" w:rsidR="00D81528" w:rsidRDefault="0098717A" w:rsidP="00584DF4">
      <w:pPr>
        <w:spacing w:line="360" w:lineRule="auto"/>
        <w:jc w:val="both"/>
        <w:rPr>
          <w:color w:val="000000"/>
        </w:rPr>
      </w:pPr>
      <w:r>
        <w:rPr>
          <w:color w:val="000000"/>
        </w:rPr>
        <w:t xml:space="preserve">Buccal cells for DNA isolation and genotyping were collected during two days and </w:t>
      </w:r>
      <w:r w:rsidR="00D81528">
        <w:rPr>
          <w:color w:val="000000"/>
        </w:rPr>
        <w:t xml:space="preserve">were also collected from parents and additional siblings. </w:t>
      </w:r>
      <w:r w:rsidR="00584DF4">
        <w:rPr>
          <w:color w:val="000000"/>
        </w:rPr>
        <w:t xml:space="preserve">All parents provided written informed consents for their own and their children’s participation. </w:t>
      </w:r>
      <w:r w:rsidR="00D81528">
        <w:rPr>
          <w:color w:val="000000"/>
        </w:rPr>
        <w:t>Genotyping was done on the Axiom (</w:t>
      </w:r>
      <w:r w:rsidR="00D81528">
        <w:rPr>
          <w:i/>
          <w:iCs/>
          <w:color w:val="000000"/>
        </w:rPr>
        <w:t>N</w:t>
      </w:r>
      <w:r w:rsidR="00D81528">
        <w:rPr>
          <w:color w:val="000000"/>
        </w:rPr>
        <w:t xml:space="preserve"> = 861; </w:t>
      </w:r>
      <w:r w:rsidR="005E1DD5">
        <w:rPr>
          <w:color w:val="000000"/>
        </w:rPr>
        <w:fldChar w:fldCharType="begin" w:fldLock="1"/>
      </w:r>
      <w:r w:rsidR="005E1DD5">
        <w:rPr>
          <w:color w:val="000000"/>
        </w:rPr>
        <w:instrText>ADDIN CSL_CITATION {"citationItems":[{"id":"ITEM-1","itemData":{"DOI":"10.1038/ejhg.2016.152","ISSN":"14765438","abstract":"© 2017 Macmillan Publishers Limited. All rights reserved. As an example of optimizing population-specific genotyping assays using a whole-genome sequence reference set, we detail the approach that followed to design the Axiom-NL array which is characterized by an improved imputation backbone based on the Genome of the Netherlands (GoNL) reference sequence and, compared with earlier arrays, a more comprehensive inclusion of SNPs on chromosomes X, Y, and the mitochondria. Common variants on the array were selected to be compatible with the Illumina Psych Array and the Affymetrix UK Biobank Axiom array. About 3.5% of the array (23 977 markers) represents SNPs from the GWAS catalog, including SNPs at FTO, APOE, Ion-channels, killer-cell immunoglobulin-like receptors, and HLA. Around 26 000 markers associated with common psychiatric disorders are included, as well as 6705 markers suggested to be associated with fertility and twinning. The platform can thus be used for risk profiling, detection of new variants, as well as ancestry determination. Results of coverage tests in 249 unrelated subjects with GoNL-based sequence data show that after imputation with 1000G as a reference, the median concordance between original and imputed genotypes is above 98%. The median imputation quality R 2 for MAF thresholds of 0.001, 0.01, 0.05, and &gt; 0.05 are 0.05, 0.28, 0.80, 0.99, respectively, for the 1000G imputed SNPs, with a similar quality for the autosomes and X chromosome, showing a good genome-wide coverage for association studies after imputation.","author":[{"dropping-particle":"","family":"Ehli","given":"Erik A.","non-dropping-particle":"","parse-names":false,"suffix":""},{"dropping-particle":"","family":"Abdellaoui","given":"Abdel","non-dropping-particle":"","parse-names":false,"suffix":""},{"dropping-particle":"","family":"Fedko","given":"Iryna O.","non-dropping-particle":"","parse-names":false,"suffix":""},{"dropping-particle":"","family":"Grieser","given":"Charlie","non-dropping-particle":"","parse-names":false,"suffix":""},{"dropping-particle":"","family":"Nohzadeh-Malakshah","given":"Sahar","non-dropping-particle":"","parse-names":false,"suffix":""},{"dropping-particle":"","family":"Willemsen","given":"Gonneke","non-dropping-particle":"","parse-names":false,"suffix":""},{"dropping-particle":"","family":"Geus","given":"Eco J.C.","non-dropping-particle":"De","parse-names":false,"suffix":""},{"dropping-particle":"","family":"Boomsma","given":"Dorret I.","non-dropping-particle":"","parse-names":false,"suffix":""},{"dropping-particle":"","family":"Davies","given":"Gareth E.","non-dropping-particle":"","parse-names":false,"suffix":""},{"dropping-particle":"","family":"Hottenga","given":"Jouke J.","non-dropping-particle":"","parse-names":false,"suffix":""}],"container-title":"European Journal of Human Genetics","id":"ITEM-1","issue":"2","issued":{"date-parts":[["2017"]]},"page":"267-270","publisher":"Nature Publishing Group","title":"A method to customize population-specific arrays for genome-wide association testing","type":"article-journal","volume":"25"},"uris":["http://www.mendeley.com/documents/?uuid=71f1cf44-b10f-4374-b319-1491e78d6dda"]}],"mendeley":{"formattedCitation":"(Ehli et al. 2017)","manualFormatting":"Ehli et al. 2017)","plainTextFormattedCitation":"(Ehli et al. 2017)","previouslyFormattedCitation":"(Ehli et al. 2017)"},"properties":{"noteIndex":0},"schema":"https://github.com/citation-style-language/schema/raw/master/csl-citation.json"}</w:instrText>
      </w:r>
      <w:r w:rsidR="005E1DD5">
        <w:rPr>
          <w:color w:val="000000"/>
        </w:rPr>
        <w:fldChar w:fldCharType="separate"/>
      </w:r>
      <w:r w:rsidR="005E1DD5" w:rsidRPr="005E1DD5">
        <w:rPr>
          <w:noProof/>
          <w:color w:val="000000"/>
        </w:rPr>
        <w:t>Ehli et al. 2017)</w:t>
      </w:r>
      <w:r w:rsidR="005E1DD5">
        <w:rPr>
          <w:color w:val="000000"/>
        </w:rPr>
        <w:fldChar w:fldCharType="end"/>
      </w:r>
      <w:r w:rsidR="00D81528">
        <w:rPr>
          <w:color w:val="000000"/>
        </w:rPr>
        <w:t xml:space="preserve"> or the GSA array (</w:t>
      </w:r>
      <w:r w:rsidR="00D81528">
        <w:rPr>
          <w:i/>
          <w:iCs/>
          <w:color w:val="000000"/>
        </w:rPr>
        <w:t>N</w:t>
      </w:r>
      <w:r w:rsidR="00D81528">
        <w:rPr>
          <w:color w:val="000000"/>
        </w:rPr>
        <w:t xml:space="preserve"> = 2,151; </w:t>
      </w:r>
      <w:r w:rsidR="005E1DD5">
        <w:rPr>
          <w:color w:val="000000"/>
        </w:rPr>
        <w:fldChar w:fldCharType="begin" w:fldLock="1"/>
      </w:r>
      <w:r w:rsidR="005E1DD5">
        <w:rPr>
          <w:color w:val="000000"/>
        </w:rPr>
        <w:instrText>ADDIN CSL_CITATION {"citationItems":[{"id":"ITEM-1","itemData":{"DOI":"10.1017/thg.2019.41","ISSN":"1832-4274","abstract":"Twin registries often take part in large collaborative projects and are major contributors to genome-wide association (GWA) meta-analysis studies. In this article, we describe genotyping of twin-family populations from Australia, the Midwestern USA (Avera Twin Register), the Netherlands (Netherlands Twin Register), as well as a sample of mothers of twins from Nigeria to assess the extent, if any, of genetic differences between them. Genotyping in all cohorts was done using a custom-designed Illumina Global Screening Array (GSA), optimized to improve imputation quality for population-specific GWA studies. We investigated the degree of genetic similarity between the populations using several measures of population variation with genotype data generated from the GSA. Visualization of principal component analysis (PCA) revealed that the Australian, Dutch and Midwestern American populations exhibit negligible interpopulation stratification when compared to each other, to a reference European population and to globally distant populations. Estimations of fixation indices ( F ST values) between the Australian, Midwestern American and Netherlands populations suggest minimal genetic differentiation compared to the estimates between each population and a genetically distinct cohort (i.e., samples from Nigeria genotyped on GSA). Thus, results from this study demonstrate that genotype data from the Australian, Dutch and Midwestern American twin-family populations can be reasonably combined for joint-genetic analysis.","author":[{"dropping-particle":"","family":"Beck","given":"Jeffrey J.","non-dropping-particle":"","parse-names":false,"suffix":""},{"dropping-particle":"","family":"Hottenga","given":"Jouke-Jan","non-dropping-particle":"","parse-names":false,"suffix":""},{"dropping-particle":"","family":"Mbarek","given":"Hamdi","non-dropping-particle":"","parse-names":false,"suffix":""},{"dropping-particle":"","family":"Finnicum","given":"Casey T.","non-dropping-particle":"","parse-names":false,"suffix":""},{"dropping-particle":"","family":"Ehli","given":"Erik A.","non-dropping-particle":"","parse-names":false,"suffix":""},{"dropping-particle":"","family":"Hur","given":"Yoon-Mi","non-dropping-particle":"","parse-names":false,"suffix":""},{"dropping-particle":"","family":"Martin","given":"Nicholas G.","non-dropping-particle":"","parse-names":false,"suffix":""},{"dropping-particle":"","family":"Geus","given":"Eco J.C.","non-dropping-particle":"de","parse-names":false,"suffix":""},{"dropping-particle":"","family":"Boomsma","given":"Dorret I.","non-dropping-particle":"","parse-names":false,"suffix":""},{"dropping-particle":"","family":"Davies","given":"Gareth E.","non-dropping-particle":"","parse-names":false,"suffix":""}],"container-title":"Twin Research and Human Genetics","id":"ITEM-1","issued":{"date-parts":[["2019","8","5"]]},"page":"1-10","title":"Genetic Similarity Assessment of Twin-Family Populations by Custom-Designed Genotyping Array","type":"article-journal"},"uris":["http://www.mendeley.com/documents/?uuid=3cf2cac2-c697-438b-947d-60adf9fea2cd"]}],"mendeley":{"formattedCitation":"(Beck et al. 2019)","manualFormatting":"Beck et al. 2019)","plainTextFormattedCitation":"(Beck et al. 2019)","previouslyFormattedCitation":"(Beck et al. 2019)"},"properties":{"noteIndex":0},"schema":"https://github.com/citation-style-language/schema/raw/master/csl-citation.json"}</w:instrText>
      </w:r>
      <w:r w:rsidR="005E1DD5">
        <w:rPr>
          <w:color w:val="000000"/>
        </w:rPr>
        <w:fldChar w:fldCharType="separate"/>
      </w:r>
      <w:r w:rsidR="005E1DD5" w:rsidRPr="005E1DD5">
        <w:rPr>
          <w:noProof/>
          <w:color w:val="000000"/>
        </w:rPr>
        <w:t>Beck et al. 2019)</w:t>
      </w:r>
      <w:r w:rsidR="005E1DD5">
        <w:rPr>
          <w:color w:val="000000"/>
        </w:rPr>
        <w:fldChar w:fldCharType="end"/>
      </w:r>
      <w:r w:rsidR="00D81528">
        <w:rPr>
          <w:color w:val="000000"/>
        </w:rPr>
        <w:t xml:space="preserve">. Genotyping data were analyzed to establish zygosity </w:t>
      </w:r>
      <w:r w:rsidR="005E1DD5">
        <w:rPr>
          <w:color w:val="000000"/>
        </w:rPr>
        <w:fldChar w:fldCharType="begin" w:fldLock="1"/>
      </w:r>
      <w:r w:rsidR="005E1DD5">
        <w:rPr>
          <w:color w:val="000000"/>
        </w:rPr>
        <w:instrText>ADDIN CSL_CITATION {"citationItems":[{"id":"ITEM-1","itemData":{"DOI":"10.1097/YPG.0000000000000239","ISSN":"0955-8829","author":[{"dropping-particle":"V.","family":"Odintsova","given":"Veronika","non-dropping-particle":"","parse-names":false,"suffix":""},{"dropping-particle":"","family":"Roetman","given":"Peter J.","non-dropping-particle":"","parse-names":false,"suffix":""},{"dropping-particle":"","family":"Ip","given":"Hill F","non-dropping-particle":"","parse-names":false,"suffix":""},{"dropping-particle":"","family":"Pool","given":"René","non-dropping-particle":"","parse-names":false,"suffix":""},{"dropping-particle":"","family":"Laan","given":"Camiel M.","non-dropping-particle":"Van der","parse-names":false,"suffix":""},{"dropping-particle":"","family":"Tona","given":"Klodiana-Daphne","non-dropping-particle":"","parse-names":false,"suffix":""},{"dropping-particle":"","family":"Vermeiren","given":"Robert R.J.M.","non-dropping-particle":"","parse-names":false,"suffix":""},{"dropping-particle":"","family":"Boomsma","given":"Dorret I.","non-dropping-particle":"","parse-names":false,"suffix":""}],"container-title":"Psychiatric Genetics","id":"ITEM-1","issue":"5","issued":{"date-parts":[["2019","10"]]},"page":"170-190","title":"Genomics of human aggression","type":"article-journal","volume":"29"},"uris":["http://www.mendeley.com/documents/?uuid=9c71e7bb-465b-45c9-9020-f3f0c9f94a56"]}],"mendeley":{"formattedCitation":"(Odintsova et al. 2019)","plainTextFormattedCitation":"(Odintsova et al. 2019)"},"properties":{"noteIndex":0},"schema":"https://github.com/citation-style-language/schema/raw/master/csl-citation.json"}</w:instrText>
      </w:r>
      <w:r w:rsidR="005E1DD5">
        <w:rPr>
          <w:color w:val="000000"/>
        </w:rPr>
        <w:fldChar w:fldCharType="separate"/>
      </w:r>
      <w:r w:rsidR="005E1DD5" w:rsidRPr="005E1DD5">
        <w:rPr>
          <w:noProof/>
          <w:color w:val="000000"/>
        </w:rPr>
        <w:t>(Odintsova et al. 2019)</w:t>
      </w:r>
      <w:r w:rsidR="005E1DD5">
        <w:rPr>
          <w:color w:val="000000"/>
        </w:rPr>
        <w:fldChar w:fldCharType="end"/>
      </w:r>
      <w:r w:rsidR="00D81528">
        <w:rPr>
          <w:color w:val="000000"/>
        </w:rPr>
        <w:t>, of which parents received the results.</w:t>
      </w:r>
      <w:r w:rsidR="005E1DD5" w:rsidRPr="005E1DD5">
        <w:rPr>
          <w:color w:val="000000"/>
        </w:rPr>
        <w:t xml:space="preserve"> </w:t>
      </w:r>
    </w:p>
    <w:p w14:paraId="66C39491" w14:textId="4CAC953A" w:rsidR="005E1DD5" w:rsidRDefault="005E1DD5" w:rsidP="00584DF4">
      <w:pPr>
        <w:spacing w:line="360" w:lineRule="auto"/>
        <w:jc w:val="both"/>
        <w:rPr>
          <w:color w:val="000000"/>
        </w:rPr>
      </w:pPr>
      <w:r>
        <w:rPr>
          <w:color w:val="000000"/>
        </w:rPr>
        <w:t xml:space="preserve">For epigenetics 108 extra twins with buccal-cell samples and longitudinal aggression data were included from the NTR database. Thus </w:t>
      </w:r>
      <w:r w:rsidR="00092D57">
        <w:rPr>
          <w:color w:val="000000"/>
        </w:rPr>
        <w:t xml:space="preserve">in total </w:t>
      </w:r>
      <w:r>
        <w:rPr>
          <w:color w:val="000000"/>
        </w:rPr>
        <w:t>1,475 twins (737 complete pairs), either with first-morning urine (</w:t>
      </w:r>
      <w:r>
        <w:rPr>
          <w:i/>
          <w:iCs/>
          <w:color w:val="000000"/>
        </w:rPr>
        <w:t>N</w:t>
      </w:r>
      <w:r>
        <w:rPr>
          <w:color w:val="000000"/>
        </w:rPr>
        <w:t xml:space="preserve"> = 1,362) and/or buccal-cell swabs (</w:t>
      </w:r>
      <w:r>
        <w:rPr>
          <w:i/>
          <w:iCs/>
          <w:color w:val="000000"/>
        </w:rPr>
        <w:t>N</w:t>
      </w:r>
      <w:r>
        <w:rPr>
          <w:color w:val="000000"/>
        </w:rPr>
        <w:t xml:space="preserve"> = 1,468), were included in the ACTION project (</w:t>
      </w:r>
      <w:r>
        <w:rPr>
          <w:b/>
          <w:bCs/>
          <w:color w:val="000000"/>
        </w:rPr>
        <w:t>Supplementary Table 1</w:t>
      </w:r>
      <w:r>
        <w:rPr>
          <w:color w:val="000000"/>
        </w:rPr>
        <w:t>).</w:t>
      </w:r>
      <w:r w:rsidR="00092D57" w:rsidRPr="00092D57">
        <w:rPr>
          <w:color w:val="000000"/>
        </w:rPr>
        <w:t xml:space="preserve"> </w:t>
      </w:r>
      <w:r w:rsidR="00092D57">
        <w:rPr>
          <w:color w:val="000000"/>
        </w:rPr>
        <w:t xml:space="preserve">In the twins, epigenetic markers were measured on the Illumina EPIC 850K array </w:t>
      </w:r>
      <w:r w:rsidR="00092D57">
        <w:rPr>
          <w:color w:val="000000"/>
        </w:rPr>
        <w:fldChar w:fldCharType="begin" w:fldLock="1"/>
      </w:r>
      <w:r w:rsidR="00092D57">
        <w:rPr>
          <w:color w:val="000000"/>
        </w:rPr>
        <w:instrText>ADDIN CSL_CITATION {"citationItems":[{"id":"ITEM-1","itemData":{"DOI":"10.1186/s13072-018-0225-x","ISSN":"17568935","abstract":"DNA methylation arrays are widely used in epigenome-wide association studies and methylation quantitative trait locus (mQTL) studies. Here, we performed the first genome-wide analysis of monozygotic (MZ) twin correlations and mQTLs on data obtained with the Illumina MethylationEPIC BeadChip (EPIC array) and compared the performance of the EPIC array to the Illumina HumanMethylation450 BeadChip (HM450 array) for buccal-derived DNA. Good-quality EPIC data were obtained for 102 buccal-derived DNA samples from 49 MZ twin pairs (mean age = 7.5 years, range = 1–10). Differences between MZ twins in the cellular content of buccal swabs were a major driver for differences in their DNA methylation profiles, highlighting the importance to adjust for cellular composition in DNA methylation studies of buccal-derived DNA. After adjusting for cellular composition, the genome-wide mean correlation (r) between MZ twins was 0.21 for the EPIC array, and cis mQTL analysis in 84 twins identified 1,296,323 significant associations (FDR 5%), encompassing 33,749 methylation sites and 616,029 genetic variants. MZ twin correlations were slightly larger (p &lt; 2.2 × 10−16) for novel EPIC probes (N = 383,066, mean r = 0.22) compared to probes that are also present on HM450 (N = 406,822, mean r = 0.20). In line with this observation, a larger percentage of novel EPIC probes was associated with genetic variants (novel EPIC probes with significant mQTL 4.7%, HM450 probes with mQTL 3.9%, p &lt; 2.2 × 10−16). Methylation sites with a large MZ correlation and sites associated with mQTLs were most strongly enriched in epithelial cell DNase I hypersensitive sites (DHSs), enhancers, and histone mark H3K4me3. We conclude that the contribution of familial factors to individual differences in DNA methylation and the effect of mQTLs are larger for novel EPIC probes, especially those within regulatory elements connected to active regions specific to the investigated tissue.","author":[{"dropping-particle":"","family":"Dongen","given":"Jenny","non-dropping-particle":"Van","parse-names":false,"suffix":""},{"dropping-particle":"","family":"Ehli","given":"Erik A.","non-dropping-particle":"","parse-names":false,"suffix":""},{"dropping-particle":"","family":"Jansen","given":"Rick","non-dropping-particle":"","parse-names":false,"suffix":""},{"dropping-particle":"","family":"Beijsterveldt","given":"Catharina E.M.","non-dropping-particle":"Van","parse-names":false,"suffix":""},{"dropping-particle":"","family":"Willemsen","given":"Gonneke","non-dropping-particle":"","parse-names":false,"suffix":""},{"dropping-particle":"","family":"Hottenga","given":"Jouke J.","non-dropping-particle":"","parse-names":false,"suffix":""},{"dropping-particle":"","family":"Kallsen","given":"Noah A.","non-dropping-particle":"","parse-names":false,"suffix":""},{"dropping-particle":"","family":"Peyton","given":"Shanna A.","non-dropping-particle":"","parse-names":false,"suffix":""},{"dropping-particle":"","family":"Breeze","given":"Charles E.","non-dropping-particle":"","parse-names":false,"suffix":""},{"dropping-particle":"","family":"Kluft","given":"Cornelis","non-dropping-particle":"","parse-names":false,"suffix":""},{"dropping-particle":"","family":"Heijmans","given":"Bastiaan T.","non-dropping-particle":"","parse-names":false,"suffix":""},{"dropping-particle":"","family":"Bartels","given":"Meike","non-dropping-particle":"","parse-names":false,"suffix":""},{"dropping-particle":"","family":"Davies","given":"Gareth E.","non-dropping-particle":"","parse-names":false,"suffix":""},{"dropping-particle":"","family":"Boomsma","given":"Dorret I.","non-dropping-particle":"","parse-names":false,"suffix":""}],"container-title":"Epigenetics and Chromatin","id":"ITEM-1","issue":"1","issued":{"date-parts":[["2018"]]},"page":"1-14","publisher":"BioMed Central","title":"Genome-wide analysis of DNA methylation in buccal cells: A study of monozygotic twins and mQTLs","type":"article-journal","volume":"11"},"uris":["http://www.mendeley.com/documents/?uuid=a34af68d-b758-42a6-bb17-6cff0d35e9a6"]}],"mendeley":{"formattedCitation":"(Van Dongen et al. 2018)","plainTextFormattedCitation":"(Van Dongen et al. 2018)","previouslyFormattedCitation":"(Van Dongen et al. 2018)"},"properties":{"noteIndex":0},"schema":"https://github.com/citation-style-language/schema/raw/master/csl-citation.json"}</w:instrText>
      </w:r>
      <w:r w:rsidR="00092D57">
        <w:rPr>
          <w:color w:val="000000"/>
        </w:rPr>
        <w:fldChar w:fldCharType="separate"/>
      </w:r>
      <w:r w:rsidR="00092D57" w:rsidRPr="005E1DD5">
        <w:rPr>
          <w:noProof/>
          <w:color w:val="000000"/>
        </w:rPr>
        <w:t>(Van Dongen et al. 2018)</w:t>
      </w:r>
      <w:r w:rsidR="00092D57">
        <w:rPr>
          <w:color w:val="000000"/>
        </w:rPr>
        <w:fldChar w:fldCharType="end"/>
      </w:r>
      <w:r w:rsidR="00092D57">
        <w:rPr>
          <w:color w:val="000000"/>
        </w:rPr>
        <w:t>.</w:t>
      </w:r>
    </w:p>
    <w:p w14:paraId="0A326F14" w14:textId="77777777" w:rsidR="00584DF4" w:rsidRPr="00D81528" w:rsidRDefault="00584DF4" w:rsidP="00584DF4">
      <w:pPr>
        <w:spacing w:line="360" w:lineRule="auto"/>
        <w:jc w:val="both"/>
      </w:pPr>
    </w:p>
    <w:p w14:paraId="108286ED" w14:textId="21E346C3" w:rsidR="00152CEF" w:rsidRDefault="00152CEF" w:rsidP="005E1DD5">
      <w:pPr>
        <w:pStyle w:val="Heading1"/>
        <w:spacing w:line="360" w:lineRule="auto"/>
      </w:pPr>
      <w:r>
        <w:t xml:space="preserve">Supplementary </w:t>
      </w:r>
      <w:r w:rsidR="00146060">
        <w:t xml:space="preserve">Text </w:t>
      </w:r>
      <w:r w:rsidR="00D81528">
        <w:t>2</w:t>
      </w:r>
      <w:r w:rsidR="00B27D4A">
        <w:t>: medication use</w:t>
      </w:r>
      <w:r w:rsidR="004F700A">
        <w:t xml:space="preserve"> and other covariates</w:t>
      </w:r>
    </w:p>
    <w:p w14:paraId="0CB71A44" w14:textId="27E5879F" w:rsidR="00F4503F" w:rsidRDefault="00F4503F" w:rsidP="00584DF4">
      <w:pPr>
        <w:spacing w:line="360" w:lineRule="auto"/>
        <w:jc w:val="both"/>
        <w:rPr>
          <w:color w:val="000000"/>
        </w:rPr>
      </w:pPr>
      <w:r>
        <w:rPr>
          <w:color w:val="000000"/>
        </w:rPr>
        <w:t xml:space="preserve">In the sensitivity analyses we assessed the potential impact of preexisting chronic conditions, medication use, or vitamin use on differences in biomarker levels and neurotransmitter ratios between the MZ twins scoring high and low on aggression. </w:t>
      </w:r>
    </w:p>
    <w:p w14:paraId="2B90A2A6" w14:textId="006BBCB1" w:rsidR="00F4503F" w:rsidRDefault="00F4503F" w:rsidP="00584DF4">
      <w:pPr>
        <w:spacing w:line="360" w:lineRule="auto"/>
        <w:jc w:val="both"/>
        <w:rPr>
          <w:color w:val="000000"/>
        </w:rPr>
      </w:pPr>
      <w:r>
        <w:rPr>
          <w:color w:val="000000"/>
        </w:rPr>
        <w:t xml:space="preserve">Medication use has been assessed in the twin cohort through parent report at the time of urine collection, in the clinical cohort medication use was extracted from the patient files. </w:t>
      </w:r>
      <w:r w:rsidR="000B6126">
        <w:rPr>
          <w:color w:val="000000"/>
        </w:rPr>
        <w:t>ATC codes (</w:t>
      </w:r>
      <w:hyperlink r:id="rId8" w:history="1">
        <w:r w:rsidR="000B6126">
          <w:rPr>
            <w:rStyle w:val="Hyperlink"/>
          </w:rPr>
          <w:t>https://www.whocc.no/atc_ddd_index/</w:t>
        </w:r>
      </w:hyperlink>
      <w:r w:rsidR="000B6126">
        <w:rPr>
          <w:color w:val="000000"/>
        </w:rPr>
        <w:t>) were assigned to t</w:t>
      </w:r>
      <w:r>
        <w:rPr>
          <w:color w:val="000000"/>
        </w:rPr>
        <w:t>he medications used at the time of urine collection in both cohorts</w:t>
      </w:r>
      <w:r w:rsidR="000B6126">
        <w:rPr>
          <w:color w:val="000000"/>
        </w:rPr>
        <w:t>. Based on the ATC codes medications could be classified. At time of urine collection children included in the current study used medications classified as</w:t>
      </w:r>
      <w:r w:rsidR="004F700A">
        <w:rPr>
          <w:color w:val="000000"/>
        </w:rPr>
        <w:t>:</w:t>
      </w:r>
      <w:r w:rsidR="000B6126">
        <w:rPr>
          <w:color w:val="000000"/>
        </w:rPr>
        <w:t xml:space="preserve"> </w:t>
      </w:r>
      <w:r w:rsidR="00326A19" w:rsidRPr="00326A19">
        <w:rPr>
          <w:color w:val="000000"/>
        </w:rPr>
        <w:t xml:space="preserve">alimentary tract and metabolism </w:t>
      </w:r>
      <w:r w:rsidR="000B6126">
        <w:rPr>
          <w:color w:val="000000"/>
        </w:rPr>
        <w:t xml:space="preserve">(A), </w:t>
      </w:r>
      <w:r w:rsidR="00326A19" w:rsidRPr="00326A19">
        <w:rPr>
          <w:color w:val="000000"/>
        </w:rPr>
        <w:t xml:space="preserve">cardiovascular system </w:t>
      </w:r>
      <w:r w:rsidR="000B6126">
        <w:rPr>
          <w:color w:val="000000"/>
        </w:rPr>
        <w:t>(</w:t>
      </w:r>
      <w:r w:rsidR="000B6126" w:rsidRPr="000B6126">
        <w:rPr>
          <w:color w:val="000000"/>
        </w:rPr>
        <w:t>C</w:t>
      </w:r>
      <w:r w:rsidR="000B6126">
        <w:rPr>
          <w:color w:val="000000"/>
        </w:rPr>
        <w:t xml:space="preserve">), </w:t>
      </w:r>
      <w:r w:rsidR="00326A19" w:rsidRPr="00326A19">
        <w:rPr>
          <w:color w:val="000000"/>
        </w:rPr>
        <w:t xml:space="preserve">dermatological </w:t>
      </w:r>
      <w:r w:rsidR="000B6126">
        <w:rPr>
          <w:color w:val="000000"/>
        </w:rPr>
        <w:t xml:space="preserve">(D), </w:t>
      </w:r>
      <w:r w:rsidR="004F700A">
        <w:rPr>
          <w:color w:val="000000"/>
        </w:rPr>
        <w:t>g</w:t>
      </w:r>
      <w:r w:rsidR="004F700A" w:rsidRPr="00326A19">
        <w:rPr>
          <w:color w:val="000000"/>
        </w:rPr>
        <w:t>enito</w:t>
      </w:r>
      <w:r w:rsidR="00326A19">
        <w:rPr>
          <w:color w:val="000000"/>
        </w:rPr>
        <w:t>-</w:t>
      </w:r>
      <w:r w:rsidR="00326A19" w:rsidRPr="00326A19">
        <w:rPr>
          <w:color w:val="000000"/>
        </w:rPr>
        <w:t xml:space="preserve">urinary system and sex hormone </w:t>
      </w:r>
      <w:r w:rsidR="000B6126">
        <w:rPr>
          <w:color w:val="000000"/>
        </w:rPr>
        <w:t xml:space="preserve">(G), </w:t>
      </w:r>
      <w:r w:rsidR="00326A19" w:rsidRPr="00326A19">
        <w:rPr>
          <w:color w:val="000000"/>
        </w:rPr>
        <w:t xml:space="preserve">systemic hormonal preparations </w:t>
      </w:r>
      <w:r w:rsidR="000B6126">
        <w:rPr>
          <w:color w:val="000000"/>
        </w:rPr>
        <w:t xml:space="preserve">(H), </w:t>
      </w:r>
      <w:r w:rsidR="00326A19" w:rsidRPr="00326A19">
        <w:rPr>
          <w:color w:val="000000"/>
        </w:rPr>
        <w:t>anti-infective</w:t>
      </w:r>
      <w:r w:rsidR="00326A19">
        <w:rPr>
          <w:color w:val="000000"/>
        </w:rPr>
        <w:t>s</w:t>
      </w:r>
      <w:r w:rsidR="00326A19" w:rsidRPr="00326A19">
        <w:rPr>
          <w:color w:val="000000"/>
        </w:rPr>
        <w:t xml:space="preserve"> for systemic use </w:t>
      </w:r>
      <w:r w:rsidR="000B6126">
        <w:rPr>
          <w:color w:val="000000"/>
        </w:rPr>
        <w:t>(</w:t>
      </w:r>
      <w:r w:rsidR="000B6126" w:rsidRPr="000B6126">
        <w:rPr>
          <w:color w:val="000000"/>
        </w:rPr>
        <w:t>J</w:t>
      </w:r>
      <w:r w:rsidR="000B6126">
        <w:rPr>
          <w:color w:val="000000"/>
        </w:rPr>
        <w:t xml:space="preserve">), </w:t>
      </w:r>
      <w:r w:rsidR="00326A19">
        <w:rPr>
          <w:color w:val="000000"/>
        </w:rPr>
        <w:t xml:space="preserve">nervous system </w:t>
      </w:r>
      <w:r w:rsidR="000B6126">
        <w:rPr>
          <w:color w:val="000000"/>
        </w:rPr>
        <w:t xml:space="preserve">(N) and </w:t>
      </w:r>
      <w:r w:rsidR="00326A19" w:rsidRPr="00326A19">
        <w:rPr>
          <w:color w:val="000000"/>
        </w:rPr>
        <w:t xml:space="preserve">respiratory system </w:t>
      </w:r>
      <w:r w:rsidR="000B6126">
        <w:rPr>
          <w:color w:val="000000"/>
        </w:rPr>
        <w:t>(</w:t>
      </w:r>
      <w:r w:rsidR="000B6126" w:rsidRPr="000B6126">
        <w:rPr>
          <w:color w:val="000000"/>
        </w:rPr>
        <w:t>R</w:t>
      </w:r>
      <w:r w:rsidR="000B6126">
        <w:rPr>
          <w:color w:val="000000"/>
        </w:rPr>
        <w:t>)</w:t>
      </w:r>
      <w:r w:rsidR="00326A19">
        <w:rPr>
          <w:color w:val="000000"/>
        </w:rPr>
        <w:t xml:space="preserve"> medications. </w:t>
      </w:r>
    </w:p>
    <w:p w14:paraId="38305682" w14:textId="5B940712" w:rsidR="009A5519" w:rsidRDefault="00326A19" w:rsidP="00584DF4">
      <w:pPr>
        <w:spacing w:line="360" w:lineRule="auto"/>
        <w:jc w:val="both"/>
        <w:rPr>
          <w:color w:val="000000"/>
        </w:rPr>
      </w:pPr>
      <w:r>
        <w:rPr>
          <w:color w:val="000000"/>
        </w:rPr>
        <w:lastRenderedPageBreak/>
        <w:t>Children were most frequently using nervous system or respiratory system medications</w:t>
      </w:r>
      <w:r w:rsidR="004F700A">
        <w:rPr>
          <w:color w:val="000000"/>
        </w:rPr>
        <w:t xml:space="preserve">, which is consistent with reported incidences of asthma or allergies. </w:t>
      </w:r>
      <w:r>
        <w:rPr>
          <w:color w:val="000000"/>
        </w:rPr>
        <w:t xml:space="preserve">The respiratory medications included nasal preparations (R01), drugs for obstructive airway diseases (R03) and antihistamines for system use (R06). </w:t>
      </w:r>
      <w:r w:rsidR="007B14B8">
        <w:rPr>
          <w:color w:val="000000"/>
        </w:rPr>
        <w:t xml:space="preserve">The nervous system medications included analgesics (N02, e.g., paracetamol use), </w:t>
      </w:r>
      <w:r w:rsidR="007B14B8" w:rsidRPr="007B14B8">
        <w:rPr>
          <w:color w:val="000000"/>
        </w:rPr>
        <w:t xml:space="preserve">antiepileptics </w:t>
      </w:r>
      <w:r w:rsidR="007B14B8">
        <w:rPr>
          <w:color w:val="000000"/>
        </w:rPr>
        <w:t xml:space="preserve">(N03), </w:t>
      </w:r>
      <w:r w:rsidR="007B14B8" w:rsidRPr="007B14B8">
        <w:rPr>
          <w:color w:val="000000"/>
        </w:rPr>
        <w:t xml:space="preserve">psycholeptics </w:t>
      </w:r>
      <w:r w:rsidR="007B14B8">
        <w:rPr>
          <w:color w:val="000000"/>
        </w:rPr>
        <w:t xml:space="preserve">(N05), </w:t>
      </w:r>
      <w:r w:rsidR="007B14B8" w:rsidRPr="007B14B8">
        <w:rPr>
          <w:color w:val="000000"/>
        </w:rPr>
        <w:t xml:space="preserve">psychoanaleptics </w:t>
      </w:r>
      <w:r w:rsidR="007B14B8">
        <w:rPr>
          <w:color w:val="000000"/>
        </w:rPr>
        <w:t xml:space="preserve">(N06) and </w:t>
      </w:r>
      <w:r w:rsidR="007B14B8" w:rsidRPr="007B14B8">
        <w:rPr>
          <w:color w:val="000000"/>
        </w:rPr>
        <w:t xml:space="preserve">other nervous system drugs </w:t>
      </w:r>
      <w:r w:rsidR="007B14B8">
        <w:rPr>
          <w:color w:val="000000"/>
        </w:rPr>
        <w:t xml:space="preserve">(N07; </w:t>
      </w:r>
      <w:r w:rsidR="00021180">
        <w:rPr>
          <w:color w:val="000000"/>
        </w:rPr>
        <w:t xml:space="preserve">here </w:t>
      </w:r>
      <w:r w:rsidR="007B14B8">
        <w:rPr>
          <w:color w:val="000000"/>
        </w:rPr>
        <w:t xml:space="preserve">chiefly antivertigo medications). Medications belonging to the N05 and N06 classes </w:t>
      </w:r>
      <w:r w:rsidR="006D44FD">
        <w:rPr>
          <w:color w:val="000000"/>
        </w:rPr>
        <w:t xml:space="preserve">(e.g., </w:t>
      </w:r>
      <w:r w:rsidR="00F73D39" w:rsidRPr="00F73D39">
        <w:rPr>
          <w:color w:val="000000"/>
        </w:rPr>
        <w:t>aripiprazole</w:t>
      </w:r>
      <w:r w:rsidR="00F73D39">
        <w:rPr>
          <w:color w:val="000000"/>
        </w:rPr>
        <w:t xml:space="preserve"> [</w:t>
      </w:r>
      <w:r w:rsidR="00F73D39" w:rsidRPr="00F73D39">
        <w:rPr>
          <w:color w:val="000000"/>
        </w:rPr>
        <w:t>N05AX12</w:t>
      </w:r>
      <w:r w:rsidR="00F73D39">
        <w:rPr>
          <w:color w:val="000000"/>
        </w:rPr>
        <w:t xml:space="preserve">] or </w:t>
      </w:r>
      <w:r w:rsidR="00F73D39" w:rsidRPr="00F73D39">
        <w:rPr>
          <w:color w:val="000000"/>
        </w:rPr>
        <w:t>methylphenidate</w:t>
      </w:r>
      <w:r w:rsidR="00F73D39">
        <w:rPr>
          <w:color w:val="000000"/>
        </w:rPr>
        <w:t xml:space="preserve"> [</w:t>
      </w:r>
      <w:r w:rsidR="00F73D39" w:rsidRPr="00F73D39">
        <w:rPr>
          <w:color w:val="000000"/>
        </w:rPr>
        <w:t>N06BA04</w:t>
      </w:r>
      <w:r w:rsidR="00F73D39">
        <w:rPr>
          <w:color w:val="000000"/>
        </w:rPr>
        <w:t>]</w:t>
      </w:r>
      <w:r w:rsidR="006D44FD">
        <w:rPr>
          <w:color w:val="000000"/>
        </w:rPr>
        <w:t xml:space="preserve">) </w:t>
      </w:r>
      <w:r w:rsidR="007B14B8">
        <w:rPr>
          <w:color w:val="000000"/>
        </w:rPr>
        <w:t xml:space="preserve">are also </w:t>
      </w:r>
      <w:r w:rsidR="006D44FD">
        <w:rPr>
          <w:color w:val="000000"/>
        </w:rPr>
        <w:t>considered</w:t>
      </w:r>
      <w:r w:rsidR="007B14B8">
        <w:rPr>
          <w:color w:val="000000"/>
        </w:rPr>
        <w:t xml:space="preserve"> psychotropic medications and are prescribed for the treatment of psychiatric disorders, including for example attention-deficit/hyperactivity disorder. In </w:t>
      </w:r>
      <w:r w:rsidR="007B14B8">
        <w:rPr>
          <w:b/>
          <w:bCs/>
          <w:color w:val="000000"/>
        </w:rPr>
        <w:t>Table 1</w:t>
      </w:r>
      <w:r w:rsidR="007B14B8">
        <w:rPr>
          <w:color w:val="000000"/>
        </w:rPr>
        <w:t xml:space="preserve"> we included an overview of the number of children on psychotropic medications in both cohorts. </w:t>
      </w:r>
    </w:p>
    <w:p w14:paraId="4FF37355" w14:textId="77777777" w:rsidR="00584DF4" w:rsidRDefault="00584DF4" w:rsidP="00890ABF">
      <w:pPr>
        <w:spacing w:line="360" w:lineRule="auto"/>
        <w:jc w:val="both"/>
        <w:rPr>
          <w:rFonts w:eastAsia="Cambria" w:cs="Times New Roman"/>
          <w:b/>
          <w:szCs w:val="24"/>
        </w:rPr>
      </w:pPr>
    </w:p>
    <w:p w14:paraId="754E5E4F" w14:textId="2B33826B" w:rsidR="00890ABF" w:rsidRDefault="00890ABF" w:rsidP="002337C2">
      <w:pPr>
        <w:pStyle w:val="Heading1"/>
        <w:spacing w:line="360" w:lineRule="auto"/>
        <w:jc w:val="both"/>
      </w:pPr>
      <w:r>
        <w:t>Supplementary Text 3: Aggressive Behavior item-based biomarker discovery</w:t>
      </w:r>
    </w:p>
    <w:p w14:paraId="78EF5BA5" w14:textId="3EFD9ABA" w:rsidR="00890ABF" w:rsidRDefault="00890ABF" w:rsidP="002337C2">
      <w:pPr>
        <w:pStyle w:val="Heading2"/>
        <w:spacing w:line="360" w:lineRule="auto"/>
        <w:jc w:val="both"/>
      </w:pPr>
      <w:r>
        <w:t>Assessment of aggressive behavior</w:t>
      </w:r>
    </w:p>
    <w:p w14:paraId="2225A544" w14:textId="7AA3A82C" w:rsidR="00890ABF" w:rsidRDefault="002337C2" w:rsidP="002337C2">
      <w:pPr>
        <w:spacing w:line="360" w:lineRule="auto"/>
        <w:jc w:val="both"/>
      </w:pPr>
      <w:r>
        <w:t>A</w:t>
      </w:r>
      <w:r w:rsidR="00890ABF" w:rsidRPr="00890ABF">
        <w:t xml:space="preserve">t or near the time of biological sample collection parents completed the CBCL. The CBCL Aggressive Behavior subscale consists of 18 items assessing multiple aspects of aggressive behavior (see </w:t>
      </w:r>
      <w:r w:rsidR="00890ABF" w:rsidRPr="002337C2">
        <w:rPr>
          <w:b/>
        </w:rPr>
        <w:t>Supplementary Table 4</w:t>
      </w:r>
      <w:r w:rsidR="00890ABF" w:rsidRPr="00890ABF">
        <w:t>). Parents were asked to indicate the applicability of each item to their child’s behavior</w:t>
      </w:r>
      <w:r>
        <w:t xml:space="preserve"> over the past 6 months</w:t>
      </w:r>
      <w:r w:rsidR="00890ABF" w:rsidRPr="00890ABF">
        <w:t>. Answer categories ranged from “not</w:t>
      </w:r>
      <w:r>
        <w:t xml:space="preserve"> true</w:t>
      </w:r>
      <w:r w:rsidR="00890ABF" w:rsidRPr="00890ABF">
        <w:t>”</w:t>
      </w:r>
      <w:r w:rsidR="00823B89">
        <w:t xml:space="preserve"> </w:t>
      </w:r>
      <w:r w:rsidR="00890ABF" w:rsidRPr="00890ABF">
        <w:t>(coded as “0”), to “</w:t>
      </w:r>
      <w:r>
        <w:t>somewhat or sometimes true</w:t>
      </w:r>
      <w:r w:rsidR="00890ABF" w:rsidRPr="00890ABF">
        <w:t>” (coded as “1”), and “very</w:t>
      </w:r>
      <w:r>
        <w:t xml:space="preserve"> true or often true</w:t>
      </w:r>
      <w:r w:rsidR="00890ABF" w:rsidRPr="00890ABF">
        <w:t xml:space="preserve">” (codes as “2”). </w:t>
      </w:r>
      <w:r w:rsidR="002A0E6B">
        <w:t>A</w:t>
      </w:r>
      <w:r w:rsidR="00890ABF" w:rsidRPr="00890ABF">
        <w:t>ll items were dichotomized to reflect case/control status</w:t>
      </w:r>
      <w:r w:rsidR="002A0E6B">
        <w:t xml:space="preserve">, with </w:t>
      </w:r>
      <w:r w:rsidR="00890ABF" w:rsidRPr="00890ABF">
        <w:t xml:space="preserve">items </w:t>
      </w:r>
      <w:r w:rsidR="002A0E6B">
        <w:t xml:space="preserve">scored as </w:t>
      </w:r>
      <w:r w:rsidR="00890ABF" w:rsidRPr="00890ABF">
        <w:t>“not</w:t>
      </w:r>
      <w:r>
        <w:t xml:space="preserve"> true</w:t>
      </w:r>
      <w:r w:rsidR="00890ABF" w:rsidRPr="00890ABF">
        <w:t xml:space="preserve">” </w:t>
      </w:r>
      <w:r w:rsidR="002A0E6B">
        <w:t>defining</w:t>
      </w:r>
      <w:r w:rsidR="00890ABF" w:rsidRPr="00890ABF">
        <w:t xml:space="preserve"> control</w:t>
      </w:r>
      <w:r w:rsidR="002A0E6B">
        <w:t xml:space="preserve"> statu</w:t>
      </w:r>
      <w:r w:rsidR="00890ABF" w:rsidRPr="00890ABF">
        <w:t>s. The answer categories “</w:t>
      </w:r>
      <w:r>
        <w:t>somewhat or sometimes true</w:t>
      </w:r>
      <w:r w:rsidR="00890ABF" w:rsidRPr="00890ABF">
        <w:t>” and “very</w:t>
      </w:r>
      <w:r>
        <w:t xml:space="preserve"> true or often true</w:t>
      </w:r>
      <w:r w:rsidR="00890ABF" w:rsidRPr="00890ABF">
        <w:t xml:space="preserve">” </w:t>
      </w:r>
      <w:r w:rsidR="002A0E6B">
        <w:t>both</w:t>
      </w:r>
      <w:r w:rsidR="00890ABF" w:rsidRPr="00890ABF">
        <w:t xml:space="preserve"> reflected case status. Endorsement of the original answer categories as well as the dichotomized answer categories have been supplied in </w:t>
      </w:r>
      <w:r w:rsidR="00890ABF" w:rsidRPr="002337C2">
        <w:rPr>
          <w:b/>
        </w:rPr>
        <w:t>Supplementary Table 4</w:t>
      </w:r>
      <w:r w:rsidR="00890ABF" w:rsidRPr="00890ABF">
        <w:t>. In the NTR</w:t>
      </w:r>
      <w:r w:rsidR="002A0E6B">
        <w:t>,</w:t>
      </w:r>
      <w:r w:rsidR="00890ABF" w:rsidRPr="00890ABF">
        <w:t xml:space="preserve"> </w:t>
      </w:r>
      <w:r w:rsidR="002A0E6B">
        <w:t>items from</w:t>
      </w:r>
      <w:r w:rsidR="002A0E6B" w:rsidRPr="00890ABF">
        <w:t xml:space="preserve"> </w:t>
      </w:r>
      <w:r w:rsidR="00890ABF" w:rsidRPr="00890ABF">
        <w:t xml:space="preserve">mother-rated CBCL Aggressive Behavior subscale </w:t>
      </w:r>
      <w:r w:rsidR="002A0E6B">
        <w:t>were analyzed</w:t>
      </w:r>
      <w:r w:rsidR="00890ABF" w:rsidRPr="00890ABF">
        <w:t xml:space="preserve">, in the Curium-LUMC </w:t>
      </w:r>
      <w:r w:rsidR="002A0E6B">
        <w:t>cohort</w:t>
      </w:r>
      <w:r w:rsidR="002A0E6B" w:rsidRPr="00890ABF">
        <w:t xml:space="preserve"> </w:t>
      </w:r>
      <w:r w:rsidR="002A0E6B">
        <w:t xml:space="preserve">the </w:t>
      </w:r>
      <w:r w:rsidR="002A0E6B" w:rsidRPr="008C1ADB">
        <w:t>majority (9</w:t>
      </w:r>
      <w:r w:rsidR="008C1ADB" w:rsidRPr="00547A83">
        <w:t>0</w:t>
      </w:r>
      <w:r w:rsidR="002A0E6B" w:rsidRPr="008C1ADB">
        <w:t>%)</w:t>
      </w:r>
      <w:r w:rsidR="002A0E6B">
        <w:t xml:space="preserve"> of ratings was also by the mother</w:t>
      </w:r>
      <w:r w:rsidR="008C1ADB">
        <w:t>.</w:t>
      </w:r>
    </w:p>
    <w:p w14:paraId="7F38C61C" w14:textId="2C7D0B35" w:rsidR="00890ABF" w:rsidRDefault="00890ABF" w:rsidP="002337C2">
      <w:pPr>
        <w:pStyle w:val="Heading2"/>
        <w:spacing w:line="360" w:lineRule="auto"/>
        <w:jc w:val="both"/>
      </w:pPr>
      <w:r>
        <w:t>Statistical analyses</w:t>
      </w:r>
    </w:p>
    <w:p w14:paraId="5423A8AD" w14:textId="6C277E73" w:rsidR="00890ABF" w:rsidRDefault="00890ABF" w:rsidP="002337C2">
      <w:pPr>
        <w:spacing w:line="360" w:lineRule="auto"/>
        <w:jc w:val="both"/>
      </w:pPr>
      <w:r w:rsidRPr="00890ABF">
        <w:t xml:space="preserve">In the item-based discovery, replication and validation phases the same subjects as in the original discovery, replication and validation phases were classified as cases or controls based on each of the 18 CBCL Aggressive Behavior items (see </w:t>
      </w:r>
      <w:r w:rsidRPr="002337C2">
        <w:rPr>
          <w:b/>
        </w:rPr>
        <w:t xml:space="preserve">section </w:t>
      </w:r>
      <w:r>
        <w:rPr>
          <w:b/>
        </w:rPr>
        <w:t>3.1</w:t>
      </w:r>
      <w:r w:rsidRPr="00890ABF">
        <w:t xml:space="preserve">). GEE analyses, including sex and age as </w:t>
      </w:r>
      <w:r w:rsidRPr="00890ABF">
        <w:lastRenderedPageBreak/>
        <w:t>covariates, assess</w:t>
      </w:r>
      <w:r w:rsidR="002A0E6B">
        <w:t>ed</w:t>
      </w:r>
      <w:r w:rsidRPr="00890ABF">
        <w:t xml:space="preserve"> the relationship of the biomarkers and neurotransmitter ratios with item case-control status. Analyses were corrected for relatedness using an ‘exchangeable’ correlation structure. </w:t>
      </w:r>
      <w:r w:rsidR="000139E8">
        <w:t>The</w:t>
      </w:r>
      <w:r w:rsidR="000139E8" w:rsidRPr="00890ABF">
        <w:t xml:space="preserve"> FDR of 5% at a threshold of p ≤ 0.05 for 1602 tests (biomarkers) or 126 tests (ratios) are provided. </w:t>
      </w:r>
      <w:r w:rsidR="000139E8">
        <w:t>Note</w:t>
      </w:r>
      <w:r w:rsidR="00A53D8D">
        <w:t>,</w:t>
      </w:r>
      <w:r w:rsidR="000139E8">
        <w:t xml:space="preserve"> that because of </w:t>
      </w:r>
      <w:r w:rsidRPr="00890ABF">
        <w:t xml:space="preserve">the large number of tests interpretation of the discovery phase in terms of significance is </w:t>
      </w:r>
      <w:r w:rsidR="002A0E6B">
        <w:t>complex</w:t>
      </w:r>
      <w:r w:rsidR="000139E8">
        <w:t xml:space="preserve">. </w:t>
      </w:r>
      <w:r w:rsidRPr="00890ABF">
        <w:t>The top 25% most associated biomarkers or ratios per item were tested in the replication phase. In the replication phase the FDR of 5% for 414 tests (biomarkers) and 54 tests (ratios) at p ≤ 0.05 was used. Finally, in the validation phase the biomarkers or ratios with congruent directions of effect in the discovery and validation phase and which were significantly associated with item case-control status in the validation phase were assessed. For those items without significantly associated biomarkers or ratios, the top 5 biomarkers or top ratio were assessed in the replication phase. The significance threshold was set at p ≤ 0.05 with a 5% FDR for 88 tests (biomarkers) and 18 tests (ratios) to control multiple testing</w:t>
      </w:r>
      <w:r w:rsidRPr="00547A83">
        <w:t>.</w:t>
      </w:r>
    </w:p>
    <w:p w14:paraId="1A6D5122" w14:textId="32A7089B" w:rsidR="00890ABF" w:rsidRDefault="00890ABF" w:rsidP="002337C2">
      <w:pPr>
        <w:pStyle w:val="Heading2"/>
        <w:spacing w:line="360" w:lineRule="auto"/>
        <w:jc w:val="both"/>
      </w:pPr>
      <w:r>
        <w:t>Results</w:t>
      </w:r>
    </w:p>
    <w:p w14:paraId="5FBF8442" w14:textId="32C9BF13" w:rsidR="00C14D69" w:rsidRDefault="00C14D69" w:rsidP="002337C2">
      <w:pPr>
        <w:pStyle w:val="Heading3"/>
        <w:spacing w:line="360" w:lineRule="auto"/>
        <w:jc w:val="both"/>
      </w:pPr>
      <w:r>
        <w:t>Participant descriptives</w:t>
      </w:r>
    </w:p>
    <w:p w14:paraId="00B410F3" w14:textId="574FD664" w:rsidR="00C14D69" w:rsidRPr="00C14D69" w:rsidRDefault="00C14D69" w:rsidP="002337C2">
      <w:pPr>
        <w:spacing w:line="360" w:lineRule="auto"/>
        <w:jc w:val="both"/>
      </w:pPr>
      <w:r w:rsidRPr="00C14D69">
        <w:t xml:space="preserve">Both the original and dichotomized responses for each of the 18 items have been included in </w:t>
      </w:r>
      <w:r w:rsidRPr="002337C2">
        <w:rPr>
          <w:b/>
        </w:rPr>
        <w:t>Supplementary Table 4</w:t>
      </w:r>
      <w:r w:rsidRPr="00C14D69">
        <w:t xml:space="preserve">. </w:t>
      </w:r>
      <w:r w:rsidR="000139E8">
        <w:t>C</w:t>
      </w:r>
      <w:r w:rsidRPr="00C14D69">
        <w:t>ase and control status on an item-to-item basis vary considerably across children (</w:t>
      </w:r>
      <w:r w:rsidRPr="002337C2">
        <w:rPr>
          <w:b/>
        </w:rPr>
        <w:t>Supplementary Table 4</w:t>
      </w:r>
      <w:r w:rsidRPr="00C14D69">
        <w:t xml:space="preserve">). It must be noted that for some items, particularly the more extreme items such as “Threatens other people”, item endorsement is low across all </w:t>
      </w:r>
      <w:r w:rsidR="007668E6">
        <w:t>groups</w:t>
      </w:r>
      <w:r w:rsidR="007668E6" w:rsidRPr="00C14D69">
        <w:t xml:space="preserve"> </w:t>
      </w:r>
      <w:r w:rsidRPr="00C14D69">
        <w:t>(</w:t>
      </w:r>
      <w:r w:rsidRPr="002337C2">
        <w:rPr>
          <w:b/>
        </w:rPr>
        <w:t>Supplementary Table 4</w:t>
      </w:r>
      <w:r w:rsidRPr="00C14D69">
        <w:t>). As a consequence, meaningful interpretation of associated metabolites, other biomarkers and neurotransmitters is not always feasible.</w:t>
      </w:r>
    </w:p>
    <w:p w14:paraId="4D01EC90" w14:textId="2EC67BA2" w:rsidR="00890ABF" w:rsidRDefault="00C14D69" w:rsidP="002337C2">
      <w:pPr>
        <w:pStyle w:val="Heading3"/>
        <w:spacing w:line="360" w:lineRule="auto"/>
        <w:jc w:val="both"/>
      </w:pPr>
      <w:r>
        <w:t>Association of urinary m</w:t>
      </w:r>
      <w:r w:rsidR="00890ABF">
        <w:t xml:space="preserve">etabolites and </w:t>
      </w:r>
      <w:r>
        <w:t xml:space="preserve">other </w:t>
      </w:r>
      <w:r w:rsidR="00890ABF">
        <w:t>biomarkers</w:t>
      </w:r>
      <w:r>
        <w:t xml:space="preserve"> with Aggressive Behavior items</w:t>
      </w:r>
    </w:p>
    <w:p w14:paraId="00917ED7" w14:textId="40AF1661" w:rsidR="00890ABF" w:rsidRDefault="00890ABF" w:rsidP="002337C2">
      <w:pPr>
        <w:pStyle w:val="Heading4"/>
        <w:spacing w:line="360" w:lineRule="auto"/>
        <w:jc w:val="both"/>
      </w:pPr>
      <w:r>
        <w:t>Discovery</w:t>
      </w:r>
    </w:p>
    <w:p w14:paraId="17FA6CB2" w14:textId="16D697CA" w:rsidR="00890ABF" w:rsidRPr="00890ABF" w:rsidRDefault="00C14D69" w:rsidP="002337C2">
      <w:pPr>
        <w:spacing w:line="360" w:lineRule="auto"/>
        <w:jc w:val="both"/>
      </w:pPr>
      <w:r w:rsidRPr="00C14D69">
        <w:t>The discovery analyses showed significant metabolites or other biomarkers for each of the 18 Aggressive Behavior items, overall 3.8% of the tests were significant, however, after correcting for multiple testing none of the item-specific metabolites or other biomarkers remained significant (</w:t>
      </w:r>
      <w:r w:rsidRPr="002337C2">
        <w:rPr>
          <w:b/>
        </w:rPr>
        <w:t>Supplementary Table 13</w:t>
      </w:r>
      <w:r w:rsidRPr="00C14D69">
        <w:t>). Comparing the top 25% metabolites and other biomarkers for overall aggression, we observe that of the 23 metabolites or other biomarkers in the top 25% between 2 and 12 overlap per item (</w:t>
      </w:r>
      <w:r w:rsidRPr="002337C2">
        <w:rPr>
          <w:b/>
        </w:rPr>
        <w:t>Supplementary Table 14</w:t>
      </w:r>
      <w:r w:rsidRPr="00C14D69">
        <w:t>). Of the overlapping metabolites or other biomarkers approximately 78% have congruent directions of effect among the overall aggression and item-specific analyses (</w:t>
      </w:r>
      <w:r w:rsidRPr="002337C2">
        <w:rPr>
          <w:b/>
        </w:rPr>
        <w:t>Supplementary Table 14</w:t>
      </w:r>
      <w:r w:rsidRPr="00C14D69">
        <w:t>).</w:t>
      </w:r>
    </w:p>
    <w:p w14:paraId="20CD1295" w14:textId="191D4BA1" w:rsidR="00890ABF" w:rsidRDefault="00890ABF" w:rsidP="002337C2">
      <w:pPr>
        <w:pStyle w:val="Heading4"/>
        <w:spacing w:line="360" w:lineRule="auto"/>
        <w:jc w:val="both"/>
      </w:pPr>
      <w:r>
        <w:lastRenderedPageBreak/>
        <w:t>Replication</w:t>
      </w:r>
    </w:p>
    <w:p w14:paraId="13EB1597" w14:textId="701BC76D" w:rsidR="00890ABF" w:rsidRPr="00890ABF" w:rsidRDefault="004A0C0D" w:rsidP="002337C2">
      <w:pPr>
        <w:spacing w:line="360" w:lineRule="auto"/>
        <w:jc w:val="both"/>
      </w:pPr>
      <w:r w:rsidRPr="004A0C0D">
        <w:t>The top 25% most associated metabolites and other biomarkers per item were assessed for replication in a sample of twin</w:t>
      </w:r>
      <w:r w:rsidR="007668E6">
        <w:t xml:space="preserve"> pair</w:t>
      </w:r>
      <w:r w:rsidRPr="004A0C0D">
        <w:t>s discordant for aggression. In the replication analyses 29 metabolites or other biomarkers were significantly associated with aggression items, here only 12 of the 18 aggression items had significantly associated metabolites or other biomarkers (</w:t>
      </w:r>
      <w:r w:rsidRPr="002337C2">
        <w:rPr>
          <w:b/>
        </w:rPr>
        <w:t>Supplementary Table 15</w:t>
      </w:r>
      <w:r w:rsidRPr="004A0C0D">
        <w:t>). In total 8.5% of the total number of conducted tests were significant. Five of the significantly associated metabolites or other biomarkers were also included in the top 25% for overall aggression. In the replication analyses isocitrate was associated with ‘Disobedient at home’ (</w:t>
      </w:r>
      <w:r w:rsidRPr="002337C2">
        <w:rPr>
          <w:i/>
        </w:rPr>
        <w:t>β</w:t>
      </w:r>
      <w:r w:rsidRPr="004A0C0D">
        <w:t xml:space="preserve"> = 0.26; </w:t>
      </w:r>
      <w:r w:rsidRPr="002337C2">
        <w:rPr>
          <w:i/>
        </w:rPr>
        <w:t>SE</w:t>
      </w:r>
      <w:r w:rsidRPr="004A0C0D">
        <w:t xml:space="preserve"> = 0.10; </w:t>
      </w:r>
      <w:r w:rsidRPr="002337C2">
        <w:rPr>
          <w:i/>
        </w:rPr>
        <w:t>p</w:t>
      </w:r>
      <w:r w:rsidRPr="004A0C0D">
        <w:t xml:space="preserve"> = 0.008), for overall aggression this metabolite was not significant and showed an opposite direction of effect in the replication analysis. ‘Disobedient at home’ was also significantly associated with norepinephrine levels (</w:t>
      </w:r>
      <w:r w:rsidRPr="002337C2">
        <w:rPr>
          <w:i/>
        </w:rPr>
        <w:t>β</w:t>
      </w:r>
      <w:r w:rsidRPr="004A0C0D">
        <w:t xml:space="preserve"> = 0.22; </w:t>
      </w:r>
      <w:r w:rsidRPr="002337C2">
        <w:rPr>
          <w:i/>
        </w:rPr>
        <w:t>SE</w:t>
      </w:r>
      <w:r w:rsidRPr="004A0C0D">
        <w:t xml:space="preserve"> = 0.10; </w:t>
      </w:r>
      <w:r w:rsidRPr="002337C2">
        <w:rPr>
          <w:i/>
        </w:rPr>
        <w:t>p</w:t>
      </w:r>
      <w:r w:rsidRPr="004A0C0D">
        <w:t xml:space="preserve"> = 0.03), in the overall aggression replication analysis this metabolite was also significantly associated, before multiple testing correction</w:t>
      </w:r>
      <w:r w:rsidR="007668E6">
        <w:t>;</w:t>
      </w:r>
      <w:r w:rsidRPr="004A0C0D">
        <w:t xml:space="preserve"> however the association was in the opposite direction (mean difference = -0.19; </w:t>
      </w:r>
      <w:r w:rsidRPr="002337C2">
        <w:rPr>
          <w:i/>
        </w:rPr>
        <w:t>p</w:t>
      </w:r>
      <w:r w:rsidRPr="004A0C0D">
        <w:t xml:space="preserve"> = 0.02). The associations of ethanolamine with ‘Disobedient at school’, isocitrate with ‘Threatens’ and succinic acid with ‘Temper’ were in the same direction of effect as observed for overall aggression (</w:t>
      </w:r>
      <w:r w:rsidRPr="002337C2">
        <w:rPr>
          <w:b/>
        </w:rPr>
        <w:t>Supplementary Table 7</w:t>
      </w:r>
      <w:r w:rsidRPr="004A0C0D">
        <w:t xml:space="preserve"> and </w:t>
      </w:r>
      <w:r w:rsidRPr="002337C2">
        <w:rPr>
          <w:b/>
        </w:rPr>
        <w:t>15</w:t>
      </w:r>
      <w:r w:rsidRPr="004A0C0D">
        <w:t>). Only ethanolamine was significantly associated with both ‘Disobedient at school’ (</w:t>
      </w:r>
      <w:r w:rsidRPr="002337C2">
        <w:rPr>
          <w:i/>
        </w:rPr>
        <w:t>β</w:t>
      </w:r>
      <w:r w:rsidRPr="004A0C0D">
        <w:t xml:space="preserve"> = -0.31; </w:t>
      </w:r>
      <w:r w:rsidRPr="002337C2">
        <w:rPr>
          <w:i/>
        </w:rPr>
        <w:t>SE</w:t>
      </w:r>
      <w:r w:rsidRPr="004A0C0D">
        <w:t xml:space="preserve"> = 0.14; </w:t>
      </w:r>
      <w:r w:rsidRPr="002337C2">
        <w:rPr>
          <w:i/>
        </w:rPr>
        <w:t>p</w:t>
      </w:r>
      <w:r w:rsidRPr="004A0C0D">
        <w:t xml:space="preserve"> = 0.03) and with overall aggression (mean difference = -0.20; </w:t>
      </w:r>
      <w:r w:rsidRPr="002337C2">
        <w:rPr>
          <w:i/>
        </w:rPr>
        <w:t>p</w:t>
      </w:r>
      <w:r w:rsidRPr="004A0C0D">
        <w:t xml:space="preserve"> = 0.03). After correction for multiple testing 10 of the 15 (66.7%) metabolites or other biomarkers associated with ‘Threatens’ were still significant (</w:t>
      </w:r>
      <w:r w:rsidRPr="002337C2">
        <w:rPr>
          <w:b/>
        </w:rPr>
        <w:t>Supplementary Table 15</w:t>
      </w:r>
      <w:r w:rsidRPr="004A0C0D">
        <w:t>)</w:t>
      </w:r>
      <w:r w:rsidR="007668E6">
        <w:t>. H</w:t>
      </w:r>
      <w:r w:rsidRPr="004A0C0D">
        <w:t xml:space="preserve">owever only 3 children were </w:t>
      </w:r>
      <w:r w:rsidR="007668E6">
        <w:t>cases for</w:t>
      </w:r>
      <w:r w:rsidRPr="004A0C0D">
        <w:t xml:space="preserve"> ‘threaten other people’ (</w:t>
      </w:r>
      <w:r w:rsidRPr="002337C2">
        <w:rPr>
          <w:b/>
        </w:rPr>
        <w:t>Supplementary Table 4</w:t>
      </w:r>
      <w:r w:rsidRPr="004A0C0D">
        <w:t>). For the other 11 items none of the metabolites or other biomarkers remained significant after correction for multiple testing (</w:t>
      </w:r>
      <w:r w:rsidRPr="002337C2">
        <w:rPr>
          <w:b/>
        </w:rPr>
        <w:t>Supplementary Table 15</w:t>
      </w:r>
      <w:r w:rsidRPr="004A0C0D">
        <w:t>). Overall, we observed congruent directions of effect in the discovery and validation analyses for 3-19 out of 23 (13.0-82.6%) top 25% amines, organic acids and biomarkers per item (</w:t>
      </w:r>
      <w:r w:rsidRPr="002337C2">
        <w:rPr>
          <w:b/>
        </w:rPr>
        <w:t>Supplementary Table 14</w:t>
      </w:r>
      <w:r w:rsidRPr="004A0C0D">
        <w:t>).</w:t>
      </w:r>
    </w:p>
    <w:p w14:paraId="7989CB28" w14:textId="7EBD046F" w:rsidR="00890ABF" w:rsidRDefault="00890ABF" w:rsidP="002337C2">
      <w:pPr>
        <w:pStyle w:val="Heading4"/>
        <w:spacing w:line="360" w:lineRule="auto"/>
        <w:jc w:val="both"/>
      </w:pPr>
      <w:r>
        <w:t>Validation</w:t>
      </w:r>
    </w:p>
    <w:p w14:paraId="34600C90" w14:textId="70EB70FB" w:rsidR="00890ABF" w:rsidRPr="00890ABF" w:rsidRDefault="000B40F0" w:rsidP="002337C2">
      <w:pPr>
        <w:spacing w:line="360" w:lineRule="auto"/>
        <w:jc w:val="both"/>
      </w:pPr>
      <w:r w:rsidRPr="000B40F0">
        <w:t>For the validation analyses we selected the top 5 most associated metabolites or other biomarkers from the replication analyses with congruent directions of effects in the discovery analyses. For the ‘Fights’ item only 3 metabolites or other biomarkers showed congruent direction of effect between the discovery and the replication, therefore, only these 3 were included. In the validation analyses neopterin is significantly associated with ‘Argues’ (</w:t>
      </w:r>
      <w:r w:rsidRPr="002337C2">
        <w:rPr>
          <w:i/>
        </w:rPr>
        <w:t>β</w:t>
      </w:r>
      <w:r w:rsidRPr="000B40F0">
        <w:t xml:space="preserve"> = -0.25; </w:t>
      </w:r>
      <w:r w:rsidRPr="002337C2">
        <w:rPr>
          <w:i/>
        </w:rPr>
        <w:t>SE</w:t>
      </w:r>
      <w:r w:rsidRPr="000B40F0">
        <w:t xml:space="preserve"> = 0.10; </w:t>
      </w:r>
      <w:r w:rsidRPr="002337C2">
        <w:rPr>
          <w:i/>
        </w:rPr>
        <w:t>p</w:t>
      </w:r>
      <w:r w:rsidRPr="000B40F0">
        <w:t xml:space="preserve"> = 0.01) and L-proline with ‘Mean’ (</w:t>
      </w:r>
      <w:r w:rsidRPr="002337C2">
        <w:rPr>
          <w:i/>
        </w:rPr>
        <w:t>β</w:t>
      </w:r>
      <w:r w:rsidRPr="000B40F0">
        <w:t xml:space="preserve"> = -0.28; </w:t>
      </w:r>
      <w:r w:rsidRPr="002337C2">
        <w:rPr>
          <w:i/>
        </w:rPr>
        <w:t>SE</w:t>
      </w:r>
      <w:r w:rsidRPr="000B40F0">
        <w:t xml:space="preserve"> = 0.12; </w:t>
      </w:r>
      <w:r w:rsidRPr="002337C2">
        <w:rPr>
          <w:i/>
        </w:rPr>
        <w:t>p</w:t>
      </w:r>
      <w:r w:rsidRPr="000B40F0">
        <w:t xml:space="preserve"> = 0.02). None of the other biomarker-item combinations were </w:t>
      </w:r>
      <w:r w:rsidRPr="000B40F0">
        <w:lastRenderedPageBreak/>
        <w:t>significant and after correction for multiple testing, the associations of neopterin with ’Argues’ and L-proline with ‘Mean’ were no longer significant (</w:t>
      </w:r>
      <w:r w:rsidRPr="002337C2">
        <w:rPr>
          <w:b/>
        </w:rPr>
        <w:t>Supplementary Table 16</w:t>
      </w:r>
      <w:r w:rsidRPr="000B40F0">
        <w:t>). Overall, congruent directions of effect between the replication and validation were observed for 0-4 out of the top 5 (0%-80%) amines, organic acids and biomarkers per item (</w:t>
      </w:r>
      <w:r w:rsidRPr="002337C2">
        <w:rPr>
          <w:b/>
        </w:rPr>
        <w:t>Supplementary Table 14</w:t>
      </w:r>
      <w:r w:rsidRPr="000B40F0">
        <w:t>).</w:t>
      </w:r>
    </w:p>
    <w:p w14:paraId="173397F9" w14:textId="56E448BA" w:rsidR="00890ABF" w:rsidRDefault="00C14D69" w:rsidP="002337C2">
      <w:pPr>
        <w:pStyle w:val="Heading3"/>
        <w:spacing w:line="360" w:lineRule="auto"/>
        <w:jc w:val="both"/>
      </w:pPr>
      <w:r>
        <w:t>Association of urinary n</w:t>
      </w:r>
      <w:r w:rsidR="00890ABF">
        <w:t>eurotransmitter pa</w:t>
      </w:r>
      <w:r>
        <w:t>thways with Aggressive Behavior items</w:t>
      </w:r>
    </w:p>
    <w:p w14:paraId="69540CA9" w14:textId="14B2DB8E" w:rsidR="00890ABF" w:rsidRDefault="00890ABF" w:rsidP="002337C2">
      <w:pPr>
        <w:pStyle w:val="Heading4"/>
        <w:spacing w:line="360" w:lineRule="auto"/>
        <w:jc w:val="both"/>
      </w:pPr>
      <w:r>
        <w:t>Discovery</w:t>
      </w:r>
    </w:p>
    <w:p w14:paraId="2C9DA4D0" w14:textId="4773C6D5" w:rsidR="00890ABF" w:rsidRPr="00890ABF" w:rsidRDefault="000B40F0" w:rsidP="002337C2">
      <w:pPr>
        <w:spacing w:line="360" w:lineRule="auto"/>
        <w:jc w:val="both"/>
      </w:pPr>
      <w:r w:rsidRPr="000B40F0">
        <w:t xml:space="preserve">To elucidate the role of serotonergic, dopaminergic and GABAergic neurotransmitter pathways </w:t>
      </w:r>
      <w:r w:rsidR="007668E6">
        <w:t>we</w:t>
      </w:r>
      <w:r w:rsidRPr="000B40F0">
        <w:t xml:space="preserve"> performed discovery analyses </w:t>
      </w:r>
      <w:r w:rsidR="007668E6">
        <w:t>with</w:t>
      </w:r>
      <w:r w:rsidR="007668E6" w:rsidRPr="000B40F0">
        <w:t xml:space="preserve"> </w:t>
      </w:r>
      <w:r w:rsidRPr="000B40F0">
        <w:t>gee analyses for each of the 18 items of the CBCL Aggressive Behavior subscale. The discovery analyses showed that the catabolic dopamine neurotransmitter ratio 3MT to HVA was significantly associated with the ‘Stubborn’ (</w:t>
      </w:r>
      <w:r w:rsidRPr="002337C2">
        <w:rPr>
          <w:i/>
        </w:rPr>
        <w:t>β</w:t>
      </w:r>
      <w:r w:rsidRPr="000B40F0">
        <w:t xml:space="preserve"> = -2.50; </w:t>
      </w:r>
      <w:r w:rsidRPr="002337C2">
        <w:rPr>
          <w:i/>
        </w:rPr>
        <w:t>SE</w:t>
      </w:r>
      <w:r w:rsidRPr="000B40F0">
        <w:t xml:space="preserve"> = 1.16; </w:t>
      </w:r>
      <w:r w:rsidRPr="002337C2">
        <w:rPr>
          <w:i/>
        </w:rPr>
        <w:t>p</w:t>
      </w:r>
      <w:r w:rsidRPr="000B40F0">
        <w:t xml:space="preserve"> = 0.03) and ‘Sulks’ (</w:t>
      </w:r>
      <w:r w:rsidRPr="002337C2">
        <w:rPr>
          <w:i/>
        </w:rPr>
        <w:t>β</w:t>
      </w:r>
      <w:r w:rsidRPr="000B40F0">
        <w:t xml:space="preserve"> = -3.17; </w:t>
      </w:r>
      <w:r w:rsidRPr="002337C2">
        <w:rPr>
          <w:i/>
        </w:rPr>
        <w:t>SE</w:t>
      </w:r>
      <w:r w:rsidRPr="000B40F0">
        <w:t xml:space="preserve"> = 1.59; </w:t>
      </w:r>
      <w:r w:rsidRPr="002337C2">
        <w:rPr>
          <w:i/>
        </w:rPr>
        <w:t>p</w:t>
      </w:r>
      <w:r w:rsidRPr="000B40F0">
        <w:t xml:space="preserve"> = 0.05) items. The catabolic GABA neurotransmitter ratio GABA to succinic acid was significantly associated with the ‘Physically attacks people’ (</w:t>
      </w:r>
      <w:r w:rsidRPr="002337C2">
        <w:rPr>
          <w:i/>
        </w:rPr>
        <w:t>β</w:t>
      </w:r>
      <w:r w:rsidRPr="000B40F0">
        <w:t xml:space="preserve"> = -2.49; </w:t>
      </w:r>
      <w:r w:rsidRPr="002337C2">
        <w:rPr>
          <w:i/>
        </w:rPr>
        <w:t>SE</w:t>
      </w:r>
      <w:r w:rsidRPr="000B40F0">
        <w:t xml:space="preserve"> = 0.90; </w:t>
      </w:r>
      <w:r w:rsidRPr="002337C2">
        <w:rPr>
          <w:i/>
        </w:rPr>
        <w:t>p</w:t>
      </w:r>
      <w:r w:rsidRPr="000B40F0">
        <w:t xml:space="preserve"> = 0.01), ‘Suspicious’ (</w:t>
      </w:r>
      <w:r w:rsidRPr="002337C2">
        <w:rPr>
          <w:i/>
        </w:rPr>
        <w:t>β</w:t>
      </w:r>
      <w:r w:rsidRPr="000B40F0">
        <w:t xml:space="preserve"> = -1.82; </w:t>
      </w:r>
      <w:r w:rsidRPr="002337C2">
        <w:rPr>
          <w:i/>
        </w:rPr>
        <w:t>SE</w:t>
      </w:r>
      <w:r w:rsidRPr="000B40F0">
        <w:t xml:space="preserve"> = 0.83; </w:t>
      </w:r>
      <w:r w:rsidRPr="002337C2">
        <w:rPr>
          <w:i/>
        </w:rPr>
        <w:t>p</w:t>
      </w:r>
      <w:r w:rsidRPr="000B40F0">
        <w:t xml:space="preserve"> = 0.03) and ‘Teases’ (</w:t>
      </w:r>
      <w:r w:rsidRPr="002337C2">
        <w:rPr>
          <w:i/>
        </w:rPr>
        <w:t>β</w:t>
      </w:r>
      <w:r w:rsidRPr="000B40F0">
        <w:t xml:space="preserve"> = -2.34; </w:t>
      </w:r>
      <w:r w:rsidRPr="002337C2">
        <w:rPr>
          <w:i/>
        </w:rPr>
        <w:t>SE</w:t>
      </w:r>
      <w:r w:rsidRPr="000B40F0">
        <w:t xml:space="preserve"> = 0.88; </w:t>
      </w:r>
      <w:r w:rsidRPr="002337C2">
        <w:rPr>
          <w:i/>
        </w:rPr>
        <w:t>p</w:t>
      </w:r>
      <w:r w:rsidRPr="000B40F0">
        <w:t xml:space="preserve"> = 0.01) items. The anabolic GABA neurotransmitter L-glutamic acid to GABA was significantly associated with ‘Disobedient at School’ (</w:t>
      </w:r>
      <w:r w:rsidRPr="002337C2">
        <w:rPr>
          <w:i/>
        </w:rPr>
        <w:t>β</w:t>
      </w:r>
      <w:r w:rsidRPr="000B40F0">
        <w:t xml:space="preserve"> = -3.34; </w:t>
      </w:r>
      <w:r w:rsidRPr="002337C2">
        <w:rPr>
          <w:i/>
        </w:rPr>
        <w:t>SE</w:t>
      </w:r>
      <w:r w:rsidRPr="000B40F0">
        <w:t xml:space="preserve"> = 1.62; </w:t>
      </w:r>
      <w:r w:rsidRPr="002337C2">
        <w:rPr>
          <w:i/>
        </w:rPr>
        <w:t>p</w:t>
      </w:r>
      <w:r w:rsidRPr="000B40F0">
        <w:t xml:space="preserve"> = 0.04). After correction for multiple testing none of the neurotransmitter ratio-item associations </w:t>
      </w:r>
      <w:r w:rsidR="007668E6">
        <w:t>was</w:t>
      </w:r>
      <w:r w:rsidR="007668E6" w:rsidRPr="000B40F0">
        <w:t xml:space="preserve"> </w:t>
      </w:r>
      <w:r w:rsidRPr="000B40F0">
        <w:t>significant and none of the neurotransmitter ratios involved in the anabolism or catabolism of serotonin, dopamine or GABA significantly associated with the other 12 aggressive behavio</w:t>
      </w:r>
      <w:r>
        <w:t>r items (</w:t>
      </w:r>
      <w:r w:rsidRPr="002337C2">
        <w:rPr>
          <w:b/>
        </w:rPr>
        <w:t>Supplementary Table 17</w:t>
      </w:r>
      <w:r w:rsidRPr="000B40F0">
        <w:t>). None of the most associated neurotransmitter ratios per item were included in the top 25% most associated neurotransmitter items for overall aggression. Of the 7 neurotransmitter ratios congruent directions of effect between the overall aggression discovery results and the item specific results were observed for 6 ratios across 17 items, with no congruent directions of effect observed for the ratio of 5HTP to serotonin and for the ‘Sudden changes in mood or feelings’ item (</w:t>
      </w:r>
      <w:r w:rsidRPr="002337C2">
        <w:rPr>
          <w:b/>
        </w:rPr>
        <w:t>Supplementary Table 18</w:t>
      </w:r>
      <w:r w:rsidRPr="000B40F0">
        <w:t>).</w:t>
      </w:r>
    </w:p>
    <w:p w14:paraId="660CD1DB" w14:textId="245ED9C9" w:rsidR="00890ABF" w:rsidRDefault="00890ABF" w:rsidP="002337C2">
      <w:pPr>
        <w:pStyle w:val="Heading4"/>
        <w:spacing w:line="360" w:lineRule="auto"/>
        <w:jc w:val="both"/>
      </w:pPr>
      <w:r>
        <w:t>Replication</w:t>
      </w:r>
    </w:p>
    <w:p w14:paraId="65D5C132" w14:textId="4C80BCE0" w:rsidR="00890ABF" w:rsidRPr="00890ABF" w:rsidRDefault="000B40F0" w:rsidP="002337C2">
      <w:pPr>
        <w:spacing w:line="360" w:lineRule="auto"/>
        <w:jc w:val="both"/>
      </w:pPr>
      <w:r w:rsidRPr="000B40F0">
        <w:t>Replication of the top 25% most associated neurotransmitter ratios from the i</w:t>
      </w:r>
      <w:r>
        <w:t>tem-</w:t>
      </w:r>
      <w:r w:rsidRPr="000B40F0">
        <w:t>specific discovery analyses were performed in the sample of twins discordant for overall aggression. The anabolic dopamine ratio L-phenylalanine to L-tyrosine was significantly associated with the ‘Fights’ (</w:t>
      </w:r>
      <w:r w:rsidRPr="002337C2">
        <w:rPr>
          <w:i/>
        </w:rPr>
        <w:t>β</w:t>
      </w:r>
      <w:r w:rsidRPr="000B40F0">
        <w:t xml:space="preserve"> = -0.85; </w:t>
      </w:r>
      <w:r w:rsidRPr="002337C2">
        <w:rPr>
          <w:i/>
        </w:rPr>
        <w:t>SE</w:t>
      </w:r>
      <w:r w:rsidRPr="000B40F0">
        <w:t xml:space="preserve"> = 0.42; </w:t>
      </w:r>
      <w:r w:rsidRPr="002337C2">
        <w:rPr>
          <w:i/>
        </w:rPr>
        <w:t>p</w:t>
      </w:r>
      <w:r w:rsidRPr="000B40F0">
        <w:t xml:space="preserve"> = 0.04) and ‘Threat</w:t>
      </w:r>
      <w:r>
        <w:t>ens’ (</w:t>
      </w:r>
      <w:r w:rsidRPr="002337C2">
        <w:rPr>
          <w:i/>
        </w:rPr>
        <w:t>β</w:t>
      </w:r>
      <w:r w:rsidRPr="000B40F0">
        <w:t xml:space="preserve"> = -1.19; </w:t>
      </w:r>
      <w:r w:rsidRPr="002337C2">
        <w:rPr>
          <w:i/>
        </w:rPr>
        <w:t>SE</w:t>
      </w:r>
      <w:r w:rsidRPr="000B40F0">
        <w:t xml:space="preserve"> = 0.39; </w:t>
      </w:r>
      <w:r w:rsidRPr="002337C2">
        <w:rPr>
          <w:i/>
        </w:rPr>
        <w:t>p</w:t>
      </w:r>
      <w:r w:rsidRPr="000B40F0">
        <w:t xml:space="preserve"> = 0.002) items, though these associations did not survive multiple testing (</w:t>
      </w:r>
      <w:r w:rsidRPr="002337C2">
        <w:rPr>
          <w:b/>
        </w:rPr>
        <w:t>Supplementary Table 19</w:t>
      </w:r>
      <w:r w:rsidRPr="000B40F0">
        <w:t xml:space="preserve">). The direction of effect of L-phenylalanine to L-tyrosine for the ‘Fights’ and ‘Threatens’ items were congruent with the direction of effect as </w:t>
      </w:r>
      <w:r w:rsidRPr="000B40F0">
        <w:lastRenderedPageBreak/>
        <w:t>observed in the discovery analyses (</w:t>
      </w:r>
      <w:r w:rsidRPr="002337C2">
        <w:rPr>
          <w:b/>
        </w:rPr>
        <w:t>Supplementary Table 18</w:t>
      </w:r>
      <w:r w:rsidRPr="000B40F0">
        <w:t>). None of the other neurotransmitter ratio aggression item combinations reached significance in the replication analyses (</w:t>
      </w:r>
      <w:r w:rsidRPr="002337C2">
        <w:rPr>
          <w:b/>
        </w:rPr>
        <w:t>Supplementary Table 19</w:t>
      </w:r>
      <w:r w:rsidRPr="000B40F0">
        <w:t>) and the congruence of effect directions ranged from none (‘Mean’) to all (3; ‘Threatens’), with an average of 1.5 (</w:t>
      </w:r>
      <w:r w:rsidRPr="002337C2">
        <w:rPr>
          <w:b/>
        </w:rPr>
        <w:t>Supplementary Table 18</w:t>
      </w:r>
      <w:r w:rsidRPr="000B40F0">
        <w:t>)</w:t>
      </w:r>
    </w:p>
    <w:p w14:paraId="785F8F34" w14:textId="330E3EFE" w:rsidR="00890ABF" w:rsidRDefault="00890ABF" w:rsidP="002337C2">
      <w:pPr>
        <w:pStyle w:val="Heading4"/>
        <w:spacing w:line="360" w:lineRule="auto"/>
        <w:jc w:val="both"/>
      </w:pPr>
      <w:r>
        <w:t>Validation</w:t>
      </w:r>
    </w:p>
    <w:p w14:paraId="44936DF1" w14:textId="081F000A" w:rsidR="00890ABF" w:rsidRPr="00890ABF" w:rsidRDefault="00225428" w:rsidP="002337C2">
      <w:pPr>
        <w:spacing w:line="360" w:lineRule="auto"/>
        <w:jc w:val="both"/>
      </w:pPr>
      <w:r w:rsidRPr="00225428">
        <w:t>The top neurotransmitter ratio for each item was assessed in a sample of clinical cases and twin controls. Before correction for multiple testing the anabolic dopamine neurotransmitter ratio L-phenylalanine to L-tyrosine was significantly associated with the ‘Disobedient at school’ (</w:t>
      </w:r>
      <w:r w:rsidRPr="002337C2">
        <w:rPr>
          <w:i/>
        </w:rPr>
        <w:t>β</w:t>
      </w:r>
      <w:r w:rsidRPr="00225428">
        <w:t xml:space="preserve"> = 4.64; </w:t>
      </w:r>
      <w:r w:rsidRPr="002337C2">
        <w:rPr>
          <w:i/>
        </w:rPr>
        <w:t>SE</w:t>
      </w:r>
      <w:r w:rsidRPr="00225428">
        <w:t xml:space="preserve"> =1.96; </w:t>
      </w:r>
      <w:r w:rsidRPr="002337C2">
        <w:rPr>
          <w:i/>
        </w:rPr>
        <w:t>p</w:t>
      </w:r>
      <w:r w:rsidRPr="00225428">
        <w:t xml:space="preserve"> = 0.02) and ‘Loud’ (</w:t>
      </w:r>
      <w:r w:rsidRPr="002337C2">
        <w:rPr>
          <w:i/>
        </w:rPr>
        <w:t>β</w:t>
      </w:r>
      <w:r w:rsidRPr="00225428">
        <w:t xml:space="preserve"> = 4.18; </w:t>
      </w:r>
      <w:r w:rsidRPr="002337C2">
        <w:rPr>
          <w:i/>
        </w:rPr>
        <w:t>SE</w:t>
      </w:r>
      <w:r w:rsidRPr="00225428">
        <w:t xml:space="preserve"> = 2.00; </w:t>
      </w:r>
      <w:r w:rsidRPr="002337C2">
        <w:rPr>
          <w:i/>
        </w:rPr>
        <w:t>p</w:t>
      </w:r>
      <w:r w:rsidRPr="00225428">
        <w:t xml:space="preserve"> = 0.04) items (</w:t>
      </w:r>
      <w:r w:rsidRPr="002337C2">
        <w:rPr>
          <w:b/>
        </w:rPr>
        <w:t>Supplementary Table 20</w:t>
      </w:r>
      <w:r w:rsidRPr="00225428">
        <w:t xml:space="preserve">). For ‘Disobedient at school’ the direction of effect has flipped as compared to the replication analysis, for </w:t>
      </w:r>
      <w:r>
        <w:t xml:space="preserve">‘Loud’ the direction of effect </w:t>
      </w:r>
      <w:r w:rsidRPr="00225428">
        <w:t>was congruent across the replication and validation phases (</w:t>
      </w:r>
      <w:r w:rsidRPr="002337C2">
        <w:rPr>
          <w:b/>
        </w:rPr>
        <w:t>Supplementary Table 18</w:t>
      </w:r>
      <w:r w:rsidRPr="00225428">
        <w:t>). Neurotransmitter ratios were not significantly associated with any of the other 16 aggression items and after correction for multiple testing the ratio of L-phenylalanine to L-tyrosine was no</w:t>
      </w:r>
      <w:r w:rsidR="007668E6">
        <w:t>t</w:t>
      </w:r>
      <w:r w:rsidRPr="00225428">
        <w:t xml:space="preserve"> significantly associated with ‘Disobedient at school’ or ‘Loud’ (</w:t>
      </w:r>
      <w:r w:rsidRPr="002337C2">
        <w:rPr>
          <w:b/>
        </w:rPr>
        <w:t>Supplementary Table 20</w:t>
      </w:r>
      <w:r w:rsidRPr="00225428">
        <w:t>). In addition to the congruent direction of effect for ‘Loud’ we also observed congruent directions of effect of ‘MoodSwings’, ‘Suspicious’ and ‘Teases’ (</w:t>
      </w:r>
      <w:r w:rsidRPr="002337C2">
        <w:rPr>
          <w:b/>
        </w:rPr>
        <w:t>Supplementary Table 18</w:t>
      </w:r>
      <w:r w:rsidRPr="00225428">
        <w:t>).</w:t>
      </w:r>
    </w:p>
    <w:p w14:paraId="00F10875" w14:textId="79975AEB" w:rsidR="00D60A02" w:rsidRDefault="00D60A02" w:rsidP="000B40F0">
      <w:pPr>
        <w:pStyle w:val="Heading1"/>
        <w:spacing w:line="360" w:lineRule="auto"/>
      </w:pPr>
      <w:r>
        <w:t xml:space="preserve">Supplementary </w:t>
      </w:r>
      <w:r w:rsidR="00146060">
        <w:t xml:space="preserve">Text </w:t>
      </w:r>
      <w:r w:rsidR="00890ABF">
        <w:t>4</w:t>
      </w:r>
      <w:r w:rsidR="00B27D4A">
        <w:t xml:space="preserve">: description </w:t>
      </w:r>
      <w:r w:rsidR="00DB61CD">
        <w:t xml:space="preserve">of </w:t>
      </w:r>
      <w:r w:rsidR="00B27D4A">
        <w:t xml:space="preserve">aggression </w:t>
      </w:r>
      <w:r w:rsidR="00DB61CD">
        <w:t>measures</w:t>
      </w:r>
    </w:p>
    <w:p w14:paraId="221BED35" w14:textId="4B49AA97" w:rsidR="0096417D" w:rsidRDefault="0096417D" w:rsidP="000B40F0">
      <w:pPr>
        <w:spacing w:line="360" w:lineRule="auto"/>
        <w:jc w:val="both"/>
      </w:pPr>
      <w:r>
        <w:t xml:space="preserve">In </w:t>
      </w:r>
      <w:r>
        <w:rPr>
          <w:b/>
          <w:bCs/>
        </w:rPr>
        <w:t xml:space="preserve">Supplementary Table </w:t>
      </w:r>
      <w:r w:rsidR="00890ABF">
        <w:rPr>
          <w:b/>
          <w:bCs/>
        </w:rPr>
        <w:t xml:space="preserve">5 </w:t>
      </w:r>
      <w:r>
        <w:t xml:space="preserve">we </w:t>
      </w:r>
      <w:r w:rsidR="00B27D4A">
        <w:t>present</w:t>
      </w:r>
      <w:r>
        <w:t xml:space="preserve"> the mean</w:t>
      </w:r>
      <w:r w:rsidR="007668E6">
        <w:t xml:space="preserve"> scores </w:t>
      </w:r>
      <w:r>
        <w:t xml:space="preserve">of the twins included in this project for aggression as obtained by different raters and instruments at different ages. The following questionnaires have been included in this overview: </w:t>
      </w:r>
    </w:p>
    <w:p w14:paraId="215BC76C" w14:textId="49AA7CD4" w:rsidR="0096417D" w:rsidRDefault="0096417D" w:rsidP="000B40F0">
      <w:pPr>
        <w:pStyle w:val="ListParagraph"/>
        <w:numPr>
          <w:ilvl w:val="0"/>
          <w:numId w:val="21"/>
        </w:numPr>
        <w:spacing w:line="360" w:lineRule="auto"/>
        <w:jc w:val="both"/>
      </w:pPr>
      <w:r>
        <w:t xml:space="preserve">The </w:t>
      </w:r>
      <w:r w:rsidR="00B41733">
        <w:t xml:space="preserve">Aggressive Behavior </w:t>
      </w:r>
      <w:r>
        <w:t>scale of the ASEBA C</w:t>
      </w:r>
      <w:r w:rsidR="00A0518D">
        <w:t xml:space="preserve">hild </w:t>
      </w:r>
      <w:r>
        <w:t>B</w:t>
      </w:r>
      <w:r w:rsidR="00A0518D">
        <w:t xml:space="preserve">ehavior </w:t>
      </w:r>
      <w:r>
        <w:t>C</w:t>
      </w:r>
      <w:r w:rsidR="00A0518D">
        <w:t>hecklist (CBCL)</w:t>
      </w:r>
      <w:r>
        <w:t xml:space="preserve"> for preschool children (1.5-5 years</w:t>
      </w:r>
      <w:r w:rsidR="00BE69EF">
        <w:t>;</w:t>
      </w:r>
      <w:r w:rsidR="00CF1DAF">
        <w:t xml:space="preserve"> </w:t>
      </w:r>
      <w:r w:rsidR="00D81528">
        <w:fldChar w:fldCharType="begin" w:fldLock="1"/>
      </w:r>
      <w:r w:rsidR="00D81528">
        <w:instrText>ADDIN CSL_CITATION {"citationItems":[{"id":"ITEM-1","itemData":{"DOI":"10.1016/j.comppsych.2017.03.006","ISSN":"15328384","abstract":"Background Originating in the 1960s, the Achenbach System of Empirically Based Assessment (ASEBA) comprises a family of instruments for assessing problems and strengths for ages 1½–90+ years. Purpose To provide an overview of the ASEBA, related research, and future directions for empirically based assessment and taxonomy. Content Standardized, multi-informant ratings of transdiagnostic dimensions of behavioral, emotional, social, and thought problems are hierarchically scored on narrow-spectrum syndrome scales, broad-spectrum internalizing and externalizing scales, and a total problems (general psychopathology) scale. DSM-oriented and strengths scales are also scored. The instruments and scales have been iteratively developed from assessments of clinical and population samples of hundreds of thousands of individuals. Items, instruments, scales, and norms are tailored to different kinds of informants for ages 1½–5, 6–18, 18–59, and 60–90+ years. To take account of differences between informants' ratings, parallel instruments are completed by parents, teachers, youths, adult probands, and adult collaterals. Syndromes and Internalizing/Externalizing scales derived from factor analyses of each instrument capture variations in patterns of problems that reflect different informants' perspectives. Confirmatory factor analyses have supported the syndrome structures in dozens of societies. Software displays scale scores in relation to user-selected multicultural norms for the age and gender of the person being assessed, according to ratings by each type of informant. Multicultural norms are derived from population samples in 57 societies on every inhabited continent. Ongoing and future research includes multicultural assessment of elders; advancing transdiagnostic progress and outcomes assessment; and testing higher order structures of psychopathology.","author":[{"dropping-particle":"","family":"Achenbach","given":"Thomas M.","non-dropping-particle":"","parse-names":false,"suffix":""},{"dropping-particle":"","family":"Ivanova","given":"Masha Y.","non-dropping-particle":"","parse-names":false,"suffix":""},{"dropping-particle":"","family":"Rescorla","given":"Leslie A.","non-dropping-particle":"","parse-names":false,"suffix":""}],"container-title":"Comprehensive Psychiatry","id":"ITEM-1","issued":{"date-parts":[["2017"]]},"page":"4-18","publisher":"Elsevier Inc.","title":"Empirically based assessment and taxonomy of psychopathology for ages 1½–90+ years: Developmental, multi-informant, and multicultural findings","type":"article-journal","volume":"79"},"uris":["http://www.mendeley.com/documents/?uuid=6e0455dc-d194-4607-8350-68c1a90be9a0"]}],"mendeley":{"formattedCitation":"(Achenbach, Ivanova, and Rescorla 2017)","manualFormatting":"Achenbach, Ivanova, and Rescorla 2017)","plainTextFormattedCitation":"(Achenbach, Ivanova, and Rescorla 2017)","previouslyFormattedCitation":"(Achenbach, Ivanova, and Rescorla 2017)"},"properties":{"noteIndex":0},"schema":"https://github.com/citation-style-language/schema/raw/master/csl-citation.json"}</w:instrText>
      </w:r>
      <w:r w:rsidR="00D81528">
        <w:fldChar w:fldCharType="separate"/>
      </w:r>
      <w:r w:rsidR="00D81528" w:rsidRPr="00D81528">
        <w:rPr>
          <w:noProof/>
        </w:rPr>
        <w:t>Achenbach, Ivanova, and Rescorla 2017)</w:t>
      </w:r>
      <w:r w:rsidR="00D81528">
        <w:fldChar w:fldCharType="end"/>
      </w:r>
      <w:r>
        <w:t xml:space="preserve"> as rated by mothers and fathers of the twins at age 3. </w:t>
      </w:r>
    </w:p>
    <w:p w14:paraId="2186C748" w14:textId="27BC0462" w:rsidR="0096417D" w:rsidRDefault="0096417D" w:rsidP="00584DF4">
      <w:pPr>
        <w:pStyle w:val="ListParagraph"/>
        <w:numPr>
          <w:ilvl w:val="0"/>
          <w:numId w:val="21"/>
        </w:numPr>
        <w:spacing w:line="360" w:lineRule="auto"/>
        <w:jc w:val="both"/>
      </w:pPr>
      <w:r>
        <w:t xml:space="preserve">The </w:t>
      </w:r>
      <w:r w:rsidR="002F3210">
        <w:t xml:space="preserve">Aggressive Behavior </w:t>
      </w:r>
      <w:r w:rsidR="00BE69EF">
        <w:t xml:space="preserve">scale of the </w:t>
      </w:r>
      <w:r w:rsidR="00BE69EF" w:rsidRPr="00E52097">
        <w:t>Devereux Child Behavior (DCB) rating scale</w:t>
      </w:r>
      <w:r w:rsidR="00BE69EF">
        <w:t xml:space="preserve"> </w:t>
      </w:r>
      <w:r w:rsidR="00D81528">
        <w:fldChar w:fldCharType="begin" w:fldLock="1"/>
      </w:r>
      <w:r w:rsidR="00D81528">
        <w:instrText>ADDIN CSL_CITATION {"citationItems":[{"id":"ITEM-1","itemData":{"DOI":"10.1023/B:BEGE.0000017869.30151.fd","ISSN":"00018244","abstract":"Different instruments can be used in the assessment of psychopathology in young children. In the present study the psychometric properties of a subset of items of the Devereux Child Behavior (DCB) rating scale were evaluated and the contribution of genetic and environmental influences to the variance of derived problem behavior scales was estimated. Maternal and paternal ratings were obtained in about 7600 5-year-old Dutch twin pairs. Six problem scales were derived from exploratory and confirmatory factor analysis and designated as emotional lability, aggressive behavior, attention problems, anxiety problems, physical coordination problems, and dependency. Univariate genetic analyses of the problem scales yielded large additive genetic effects. Heritability estimates ranged from 40% for aggressive behavior to 81% for attention problems. Shared environmental influences were found for aggressive behavior, anxiety problems, dependency, and emotional lability. Rater contrast and/or sibling interaction effects were found for attention problems and physical coordination.","author":[{"dropping-particle":"","family":"Beijsterveldt","given":"C E M","non-dropping-particle":"van","parse-names":false,"suffix":""},{"dropping-particle":"","family":"Verhulst","given":"F. C.","non-dropping-particle":"","parse-names":false,"suffix":""},{"dropping-particle":"","family":"Molenaar","given":"P. C.M.","non-dropping-particle":"","parse-names":false,"suffix":""},{"dropping-particle":"","family":"Boomsma","given":"D. I.","non-dropping-particle":"","parse-names":false,"suffix":""}],"container-title":"Behavior Genetics","id":"ITEM-1","issue":"3","issued":{"date-parts":[["2004"]]},"page":"229-242","title":"The Genetic Basis of Problem Behavior in 5-Year-Old Dutch Twin Pairs","type":"article-journal","volume":"34"},"uris":["http://www.mendeley.com/documents/?uuid=78c391dc-cedb-43f4-8046-569254a405e1"]},{"id":"ITEM-2","itemData":{"DOI":"10.1111/cdev.12451","ISSN":"14678624","abstract":"This study tested for Genotype × Environment (G × E) interaction on behavioral and emotional problems in children using new methods that do not require identification of candidate genes or environments, can distinguish between interaction with shared and unique environment, and are insensitive to scale effects. Parental ratings of problem behavior from 14,755 twin pairs (5.3 years, SD = 0.22) indicated G × E interaction on emotional liability, social isolation, aggression, attention problems, dependency, anxiety, and physical coordination. Environmental influences increased in children who were genetically more predisposed to problem behavior, with ~20% of the variance due to G × E interaction (8% for anxiety to 37% for attention problems). Ignoring G × E interaction does not greatly bias heritability estimates, but it does offer a comprehensive model of the etiology for childhood problems.","author":[{"dropping-particle":"","family":"Molenaar","given":"Dylan","non-dropping-particle":"","parse-names":false,"suffix":""},{"dropping-particle":"","family":"Middeldorp","given":"Christel","non-dropping-particle":"","parse-names":false,"suffix":""},{"dropping-particle":"","family":"Beijsterveldt","given":"Toos","non-dropping-particle":"van","parse-names":false,"suffix":""},{"dropping-particle":"","family":"Boomsma","given":"Dorret I.","non-dropping-particle":"","parse-names":false,"suffix":""}],"container-title":"Child Development","id":"ITEM-2","issue":"6","issued":{"date-parts":[["2015"]]},"page":"1999-2016","title":"Analysis of Behavioral and Emotional Problems in Children Highlights the Role of Genotype × Environment Interaction","type":"article-journal","volume":"86"},"uris":["http://www.mendeley.com/documents/?uuid=0000a8e5-7ee1-404f-980f-02e6da59b900"]}],"mendeley":{"formattedCitation":"(van Beijsterveldt et al. 2004; Molenaar et al. 2015)","plainTextFormattedCitation":"(van Beijsterveldt et al. 2004; Molenaar et al. 2015)","previouslyFormattedCitation":"(van Beijsterveldt et al. 2004; Molenaar et al. 2015)"},"properties":{"noteIndex":0},"schema":"https://github.com/citation-style-language/schema/raw/master/csl-citation.json"}</w:instrText>
      </w:r>
      <w:r w:rsidR="00D81528">
        <w:fldChar w:fldCharType="separate"/>
      </w:r>
      <w:r w:rsidR="00D81528" w:rsidRPr="00D81528">
        <w:rPr>
          <w:noProof/>
        </w:rPr>
        <w:t>(van Beijsterveldt et al. 2004; Molenaar et al. 2015)</w:t>
      </w:r>
      <w:r w:rsidR="00D81528">
        <w:fldChar w:fldCharType="end"/>
      </w:r>
      <w:r>
        <w:t xml:space="preserve"> as rated by mothers and fathers of the twins at age 5</w:t>
      </w:r>
      <w:r w:rsidR="00A13E79">
        <w:t>.</w:t>
      </w:r>
    </w:p>
    <w:p w14:paraId="5672FCA1" w14:textId="0605075E" w:rsidR="0096417D" w:rsidRDefault="0096417D" w:rsidP="00584DF4">
      <w:pPr>
        <w:pStyle w:val="ListParagraph"/>
        <w:numPr>
          <w:ilvl w:val="0"/>
          <w:numId w:val="21"/>
        </w:numPr>
        <w:spacing w:line="360" w:lineRule="auto"/>
        <w:jc w:val="both"/>
      </w:pPr>
      <w:r>
        <w:t xml:space="preserve">The </w:t>
      </w:r>
      <w:r w:rsidR="002F3210">
        <w:t>Aggressive Behavior</w:t>
      </w:r>
      <w:r>
        <w:t xml:space="preserve"> scale of the ASEBA CBCL for school-aged children (6-18 years</w:t>
      </w:r>
      <w:r w:rsidR="00BE69EF">
        <w:t xml:space="preserve">; </w:t>
      </w:r>
      <w:r w:rsidR="00D81528">
        <w:fldChar w:fldCharType="begin" w:fldLock="1"/>
      </w:r>
      <w:r w:rsidR="00D81528">
        <w:instrText>ADDIN CSL_CITATION {"citationItems":[{"id":"ITEM-1","itemData":{"DOI":"10.1016/j.comppsych.2017.03.006","ISSN":"15328384","abstract":"Background Originating in the 1960s, the Achenbach System of Empirically Based Assessment (ASEBA) comprises a family of instruments for assessing problems and strengths for ages 1½–90+ years. Purpose To provide an overview of the ASEBA, related research, and future directions for empirically based assessment and taxonomy. Content Standardized, multi-informant ratings of transdiagnostic dimensions of behavioral, emotional, social, and thought problems are hierarchically scored on narrow-spectrum syndrome scales, broad-spectrum internalizing and externalizing scales, and a total problems (general psychopathology) scale. DSM-oriented and strengths scales are also scored. The instruments and scales have been iteratively developed from assessments of clinical and population samples of hundreds of thousands of individuals. Items, instruments, scales, and norms are tailored to different kinds of informants for ages 1½–5, 6–18, 18–59, and 60–90+ years. To take account of differences between informants' ratings, parallel instruments are completed by parents, teachers, youths, adult probands, and adult collaterals. Syndromes and Internalizing/Externalizing scales derived from factor analyses of each instrument capture variations in patterns of problems that reflect different informants' perspectives. Confirmatory factor analyses have supported the syndrome structures in dozens of societies. Software displays scale scores in relation to user-selected multicultural norms for the age and gender of the person being assessed, according to ratings by each type of informant. Multicultural norms are derived from population samples in 57 societies on every inhabited continent. Ongoing and future research includes multicultural assessment of elders; advancing transdiagnostic progress and outcomes assessment; and testing higher order structures of psychopathology.","author":[{"dropping-particle":"","family":"Achenbach","given":"Thomas M.","non-dropping-particle":"","parse-names":false,"suffix":""},{"dropping-particle":"","family":"Ivanova","given":"Masha Y.","non-dropping-particle":"","parse-names":false,"suffix":""},{"dropping-particle":"","family":"Rescorla","given":"Leslie A.","non-dropping-particle":"","parse-names":false,"suffix":""}],"container-title":"Comprehensive Psychiatry","id":"ITEM-1","issued":{"date-parts":[["2017"]]},"page":"4-18","publisher":"Elsevier Inc.","title":"Empirically based assessment and taxonomy of psychopathology for ages 1½–90+ years: Developmental, multi-informant, and multicultural findings","type":"article-journal","volume":"79"},"uris":["http://www.mendeley.com/documents/?uuid=6e0455dc-d194-4607-8350-68c1a90be9a0"]}],"mendeley":{"formattedCitation":"(Achenbach, Ivanova, and Rescorla 2017)","manualFormatting":"Achenbach, Ivanova, and Rescorla 2017)","plainTextFormattedCitation":"(Achenbach, Ivanova, and Rescorla 2017)","previouslyFormattedCitation":"(Achenbach, Ivanova, and Rescorla 2017)"},"properties":{"noteIndex":0},"schema":"https://github.com/citation-style-language/schema/raw/master/csl-citation.json"}</w:instrText>
      </w:r>
      <w:r w:rsidR="00D81528">
        <w:fldChar w:fldCharType="separate"/>
      </w:r>
      <w:r w:rsidR="00D81528" w:rsidRPr="00D81528">
        <w:rPr>
          <w:noProof/>
        </w:rPr>
        <w:t>Achenbach, Ivanova, and Rescorla 2017)</w:t>
      </w:r>
      <w:r w:rsidR="00D81528">
        <w:fldChar w:fldCharType="end"/>
      </w:r>
      <w:r>
        <w:t xml:space="preserve"> as rated by mothers and fathers of the twins at ages 7 and 10.</w:t>
      </w:r>
    </w:p>
    <w:p w14:paraId="7D643BBE" w14:textId="7A935F60" w:rsidR="0096417D" w:rsidRDefault="0096417D" w:rsidP="00584DF4">
      <w:pPr>
        <w:pStyle w:val="ListParagraph"/>
        <w:numPr>
          <w:ilvl w:val="0"/>
          <w:numId w:val="21"/>
        </w:numPr>
        <w:spacing w:line="360" w:lineRule="auto"/>
        <w:jc w:val="both"/>
      </w:pPr>
      <w:r>
        <w:lastRenderedPageBreak/>
        <w:t xml:space="preserve">The </w:t>
      </w:r>
      <w:r w:rsidR="002F3210">
        <w:t>Aggressive Behavior</w:t>
      </w:r>
      <w:r w:rsidR="002F3210" w:rsidDel="002F3210">
        <w:t xml:space="preserve"> </w:t>
      </w:r>
      <w:r>
        <w:t xml:space="preserve">scale of the ASEBA </w:t>
      </w:r>
      <w:r w:rsidR="00153B6A">
        <w:t>Teacher Rating Form (</w:t>
      </w:r>
      <w:r>
        <w:t>TRF</w:t>
      </w:r>
      <w:r w:rsidR="00153B6A">
        <w:t>;</w:t>
      </w:r>
      <w:r w:rsidR="00153B6A" w:rsidRPr="00153B6A">
        <w:t xml:space="preserve"> </w:t>
      </w:r>
      <w:r w:rsidR="00D81528">
        <w:fldChar w:fldCharType="begin" w:fldLock="1"/>
      </w:r>
      <w:r w:rsidR="00D81528">
        <w:instrText>ADDIN CSL_CITATION {"citationItems":[{"id":"ITEM-1","itemData":{"DOI":"10.1016/j.comppsych.2017.03.006","ISSN":"15328384","abstract":"Background Originating in the 1960s, the Achenbach System of Empirically Based Assessment (ASEBA) comprises a family of instruments for assessing problems and strengths for ages 1½–90+ years. Purpose To provide an overview of the ASEBA, related research, and future directions for empirically based assessment and taxonomy. Content Standardized, multi-informant ratings of transdiagnostic dimensions of behavioral, emotional, social, and thought problems are hierarchically scored on narrow-spectrum syndrome scales, broad-spectrum internalizing and externalizing scales, and a total problems (general psychopathology) scale. DSM-oriented and strengths scales are also scored. The instruments and scales have been iteratively developed from assessments of clinical and population samples of hundreds of thousands of individuals. Items, instruments, scales, and norms are tailored to different kinds of informants for ages 1½–5, 6–18, 18–59, and 60–90+ years. To take account of differences between informants' ratings, parallel instruments are completed by parents, teachers, youths, adult probands, and adult collaterals. Syndromes and Internalizing/Externalizing scales derived from factor analyses of each instrument capture variations in patterns of problems that reflect different informants' perspectives. Confirmatory factor analyses have supported the syndrome structures in dozens of societies. Software displays scale scores in relation to user-selected multicultural norms for the age and gender of the person being assessed, according to ratings by each type of informant. Multicultural norms are derived from population samples in 57 societies on every inhabited continent. Ongoing and future research includes multicultural assessment of elders; advancing transdiagnostic progress and outcomes assessment; and testing higher order structures of psychopathology.","author":[{"dropping-particle":"","family":"Achenbach","given":"Thomas M.","non-dropping-particle":"","parse-names":false,"suffix":""},{"dropping-particle":"","family":"Ivanova","given":"Masha Y.","non-dropping-particle":"","parse-names":false,"suffix":""},{"dropping-particle":"","family":"Rescorla","given":"Leslie A.","non-dropping-particle":"","parse-names":false,"suffix":""}],"container-title":"Comprehensive Psychiatry","id":"ITEM-1","issued":{"date-parts":[["2017"]]},"page":"4-18","publisher":"Elsevier Inc.","title":"Empirically based assessment and taxonomy of psychopathology for ages 1½–90+ years: Developmental, multi-informant, and multicultural findings","type":"article-journal","volume":"79"},"uris":["http://www.mendeley.com/documents/?uuid=6e0455dc-d194-4607-8350-68c1a90be9a0"]}],"mendeley":{"formattedCitation":"(Achenbach, Ivanova, and Rescorla 2017)","manualFormatting":"Achenbach, Ivanova, and Rescorla 2017)","plainTextFormattedCitation":"(Achenbach, Ivanova, and Rescorla 2017)","previouslyFormattedCitation":"(Achenbach, Ivanova, and Rescorla 2017)"},"properties":{"noteIndex":0},"schema":"https://github.com/citation-style-language/schema/raw/master/csl-citation.json"}</w:instrText>
      </w:r>
      <w:r w:rsidR="00D81528">
        <w:fldChar w:fldCharType="separate"/>
      </w:r>
      <w:r w:rsidR="00D81528" w:rsidRPr="00D81528">
        <w:rPr>
          <w:noProof/>
        </w:rPr>
        <w:t>Achenbach, Ivanova, and Rescorla 2017)</w:t>
      </w:r>
      <w:r w:rsidR="00D81528">
        <w:fldChar w:fldCharType="end"/>
      </w:r>
      <w:r>
        <w:t xml:space="preserve"> as rated by teachers of the twins at ages 7, 10 and 12.</w:t>
      </w:r>
    </w:p>
    <w:p w14:paraId="1998B48B" w14:textId="24F6EC05" w:rsidR="0096417D" w:rsidRDefault="0096417D" w:rsidP="00584DF4">
      <w:pPr>
        <w:pStyle w:val="ListParagraph"/>
        <w:numPr>
          <w:ilvl w:val="0"/>
          <w:numId w:val="21"/>
        </w:numPr>
        <w:spacing w:line="360" w:lineRule="auto"/>
        <w:jc w:val="both"/>
      </w:pPr>
      <w:r>
        <w:t xml:space="preserve">The </w:t>
      </w:r>
      <w:r w:rsidR="002F3210">
        <w:t xml:space="preserve">Conduct Problems </w:t>
      </w:r>
      <w:r w:rsidR="00FD0B8B">
        <w:t xml:space="preserve">scale of the </w:t>
      </w:r>
      <w:r w:rsidR="00BE69EF" w:rsidRPr="00E52097">
        <w:t>Strengths and Difficulties Questionnaire (SDQ</w:t>
      </w:r>
      <w:r w:rsidR="00BE69EF">
        <w:t xml:space="preserve">; </w:t>
      </w:r>
      <w:r w:rsidR="00D81528">
        <w:fldChar w:fldCharType="begin" w:fldLock="1"/>
      </w:r>
      <w:r w:rsidR="00D81528">
        <w:instrText>ADDIN CSL_CITATION {"citationItems":[{"id":"ITEM-1","itemData":{"abstract":"A novel behavioural screening questionnaire, the Strengths and Difficulties Questionnaire (SDQ), was administered along with Rutter questionnaires to parents and teachers of 403 children drawn from dental and psychiatric clinics. Scores derived from the SDQ and Rutter questionnaires were highly correlated; parent-teacher correlations for the two sets of measures were comparable or favoured the SDQ. The two sets of measures did not differ in their ability to discriminate between psychiatric and dental clinic attenders. These preliminary findings suggest that the SDQ functions as well as the Rutter questionnaires while offering the following additional advantages: a focus on strengths as well as difficulties; better coverage of inattention, peer relationships, and prosocial behaviour; a shorter format; and a single form suitable for both parents and teachers, perhaps thereby increasing parent-teacher correlations.","author":[{"dropping-particle":"","family":"Goodman","given":"","non-dropping-particle":"","parse-names":false,"suffix":""}],"container-title":"J. Child Psychol. Psychiat","id":"ITEM-1","issue":"5","issued":{"date-parts":[["1997"]]},"page":"581-586","title":"The Strengths and Difficulties Questionnaire: A Research Note","type":"article-journal","volume":"38"},"uris":["http://www.mendeley.com/documents/?uuid=7e99a758-53fb-4ad7-a173-320decd14edc"]},{"id":"ITEM-2","itemData":{"DOI":"10.1097/00004583-200111000-00015","ISSN":"08908567","abstract":"To describe the psychometric properties of the Strengths and Difficulties Questionnaire (SDQ), a brief measure of the prosocial behavior and psychopathology of 3-16-year-olds that can be completed by parents, teachers, or youths.","author":[{"dropping-particle":"","family":"Goodman","given":"R.","non-dropping-particle":"","parse-names":false,"suffix":""}],"container-title":"Journal of the American Academy of Child and Adolescent Psychiatry","id":"ITEM-2","issue":"11","issued":{"date-parts":[["2001"]]},"page":"1337-1345","publisher":"The American Academy of Child and Adolescent Psychiatry","title":"Psychometric properties of the strengths and difficulties questionnaire","type":"article-journal","volume":"40"},"uris":["http://www.mendeley.com/documents/?uuid=f291bb37-9871-46b7-b686-be6d75239c54"]}],"mendeley":{"formattedCitation":"(Goodman 1997, 2001)","manualFormatting":"Goodman 1997, 2001)","plainTextFormattedCitation":"(Goodman 1997, 2001)","previouslyFormattedCitation":"(Goodman 1997, 2001)"},"properties":{"noteIndex":0},"schema":"https://github.com/citation-style-language/schema/raw/master/csl-citation.json"}</w:instrText>
      </w:r>
      <w:r w:rsidR="00D81528">
        <w:fldChar w:fldCharType="separate"/>
      </w:r>
      <w:r w:rsidR="00D81528" w:rsidRPr="00D81528">
        <w:rPr>
          <w:noProof/>
        </w:rPr>
        <w:t>Goodman 1997, 2001)</w:t>
      </w:r>
      <w:r w:rsidR="00D81528">
        <w:fldChar w:fldCharType="end"/>
      </w:r>
      <w:r>
        <w:t xml:space="preserve"> as rated by mothers and fathers of the twins at age 10</w:t>
      </w:r>
      <w:r w:rsidR="00A13E79">
        <w:t>.</w:t>
      </w:r>
    </w:p>
    <w:p w14:paraId="30296E0E" w14:textId="784A742B" w:rsidR="0096417D" w:rsidRDefault="0096417D" w:rsidP="00584DF4">
      <w:pPr>
        <w:pStyle w:val="ListParagraph"/>
        <w:numPr>
          <w:ilvl w:val="0"/>
          <w:numId w:val="21"/>
        </w:numPr>
        <w:spacing w:line="360" w:lineRule="auto"/>
        <w:jc w:val="both"/>
      </w:pPr>
      <w:r>
        <w:t xml:space="preserve">The </w:t>
      </w:r>
      <w:r w:rsidR="002F3210">
        <w:t xml:space="preserve">Conduct Disorder </w:t>
      </w:r>
      <w:r w:rsidR="00FD0B8B">
        <w:t xml:space="preserve">(CD) and </w:t>
      </w:r>
      <w:r w:rsidR="002F3210">
        <w:t>Oppositional Defiant D</w:t>
      </w:r>
      <w:r w:rsidR="00FD0B8B">
        <w:t>isorder (ODD) scales from t</w:t>
      </w:r>
      <w:r w:rsidR="00BE69EF" w:rsidRPr="00E52097">
        <w:t>he Autism - Tics, ADHD and other Comorbidities inventory (A-TAC</w:t>
      </w:r>
      <w:r w:rsidR="00BE69EF">
        <w:t xml:space="preserve">; </w:t>
      </w:r>
      <w:r w:rsidR="00D81528">
        <w:fldChar w:fldCharType="begin" w:fldLock="1"/>
      </w:r>
      <w:r w:rsidR="00D81528">
        <w:instrText>ADDIN CSL_CITATION {"citationItems":[{"id":"ITEM-1","itemData":{"DOI":"10.1192/bjp.187.3.262","ISSN":"00071250","abstract":"BACKGROUND: Reliable, valid and easily administered screening instruments would greatly facilitate large-scale neuropsychiatric research. AIMS: To test a parent telephone interview focused on autism - tics, attention-deficit hyperactivity disorder (ADHD) and other comorbidities (A-TAC). METHOD: Parents of 84 children in contact with a child neuropsychiatric clinic and 27 control children were interviewed. Validity and interrater and test - retest reliability were assessed. RESULTS: Interrater and test - retest reliability were very good. Areas under receiver operating characteristics curves between interview scores and clinical diagnoses were around 0.90 for ADHD and autistic spectrum disorders, and above 0.70 for tics, learning disorders and developmental coordination disorder. Using optimal cut-off scores for autistic spectrum disorder and ADHD, good to excellent kappa levels for interviews and clinical diagnoses were noted. CONCLUSIONS: The A-TAC appears to be a reliable and valid instrument for identifying autistic spectrum disorder, ADHD, tics, learning disorders and developmental coordination disorder.","author":[{"dropping-particle":"","family":"Hansson","given":"Sara Lima","non-dropping-particle":"","parse-names":false,"suffix":""},{"dropping-particle":"","family":"Röjvall","given":"Annika Svanström","non-dropping-particle":"","parse-names":false,"suffix":""},{"dropping-particle":"","family":"Rastam","given":"Maria","non-dropping-particle":"","parse-names":false,"suffix":""},{"dropping-particle":"","family":"Gillberg","given":"Carina","non-dropping-particle":"","parse-names":false,"suffix":""},{"dropping-particle":"","family":"Gillberg","given":"Christopher","non-dropping-particle":"","parse-names":false,"suffix":""},{"dropping-particle":"","family":"Anckarsäter","given":"Henrik","non-dropping-particle":"","parse-names":false,"suffix":""}],"container-title":"British Journal of Psychiatry","id":"ITEM-1","issue":"SEPT.","issued":{"date-parts":[["2005"]]},"page":"262-267","title":"Psychiatric telephone interview with parents for screening of childhood autism - Tics, attention-deficit hyperactivity disorder and other comorbidities (A-TAC): Preliminary reliability and validity","type":"article-journal","volume":"187"},"uris":["http://www.mendeley.com/documents/?uuid=9ce9eb0a-e675-4a95-aecd-46fd1383e064"]},{"id":"ITEM-2","itemData":{"DOI":"10.7717/peerj.359","abstract":"Background. Previous research has supported gender-specific aetiological factors in oppositional defiant disorder (ODD) and conduct disorder (CD). The aims of this study were to identify gender-specific associations between the behavioural problems-ODD/CD-like problems-and the neurodevelopmental disorders-attention deficit hyperactivity disorder (ADHD), autism spectrum disorder (ASD)-and to investigate underlying genetic effects. Methods. 17,220 twins aged 9 or 12 were screened using the Autism-Tics, AD/HD and other Comorbidities inventory. The main covariates of ODD- and CD-like problems were investigated, and the relative importance of unique versus shared hereditary and environmental effects was estimated using twin model fitting. Results. Social interaction problems (one of the ASD subdomains) was the strongest neurodevelopmental covariate of the behavioural problems in both genders, while ADHD-related hyperactivity/impulsiveness in boys and inattention in girls stood out as important covariates of CD-like problems. Genetic effects accounted for 50%-62% of the variance in behavioural problems, except in CD-like problems in girls (26%). Genetic and environmental effects linked to ADHD and ASD also influenced ODD-like problems in both genders and, to a lesser extent, CD-like problems in boys, but not in girls. Conclusions. The gender-specific patterns should be considered in the assessment and treatment, especially of CD.","author":[{"dropping-particle":"","family":"Kerekes","given":"Nóra","non-dropping-particle":"","parse-names":false,"suffix":""},{"dropping-particle":"","family":"Lundström","given":"Sebastian","non-dropping-particle":"","parse-names":false,"suffix":""},{"dropping-particle":"","family":"Chang","given":"Zheng","non-dropping-particle":"","parse-names":false,"suffix":""},{"dropping-particle":"","family":"Tajnia","given":"Armin","non-dropping-particle":"","parse-names":false,"suffix":""},{"dropping-particle":"","family":"Jern","given":"Patrick","non-dropping-particle":"","parse-names":false,"suffix":""},{"dropping-particle":"","family":"Lichtenstein","given":"Paul","non-dropping-particle":"","parse-names":false,"suffix":""},{"dropping-particle":"","family":"Nilsson","given":"Thomas","non-dropping-particle":"","parse-names":false,"suffix":""},{"dropping-particle":"","family":"Anckarsäter","given":"Henrik","non-dropping-particle":"","parse-names":false,"suffix":""}],"container-title":"PeerJ","id":"ITEM-2","issued":{"date-parts":[["2014"]]},"page":"e359","title":"Oppositional defiant- and conduct disorder-like problems: neurodevelopmental predictors and genetic background in boys and girls, in a nationwide twin study","type":"article-journal","volume":"2"},"uris":["http://www.mendeley.com/documents/?uuid=1d444253-0090-421e-b1b7-69ac910e51d8"]}],"mendeley":{"formattedCitation":"(Hansson et al. 2005; Kerekes et al. 2014)","manualFormatting":"Hansson et al. 2005; Kerekes et al. 2014)","plainTextFormattedCitation":"(Hansson et al. 2005; Kerekes et al. 2014)","previouslyFormattedCitation":"(Hansson et al. 2005; Kerekes et al. 2014)"},"properties":{"noteIndex":0},"schema":"https://github.com/citation-style-language/schema/raw/master/csl-citation.json"}</w:instrText>
      </w:r>
      <w:r w:rsidR="00D81528">
        <w:fldChar w:fldCharType="separate"/>
      </w:r>
      <w:r w:rsidR="00D81528" w:rsidRPr="00D81528">
        <w:rPr>
          <w:noProof/>
        </w:rPr>
        <w:t>Hansson et al. 2005; Kerekes et al. 2014)</w:t>
      </w:r>
      <w:r w:rsidR="00D81528">
        <w:fldChar w:fldCharType="end"/>
      </w:r>
      <w:r w:rsidR="00BE69EF">
        <w:t xml:space="preserve"> </w:t>
      </w:r>
      <w:r>
        <w:t>as rated by mothers and fathers of the twins at age 10</w:t>
      </w:r>
      <w:r w:rsidR="00A13E79">
        <w:t>.</w:t>
      </w:r>
    </w:p>
    <w:p w14:paraId="1D9024DD" w14:textId="202B07A5" w:rsidR="0096417D" w:rsidRDefault="0096417D" w:rsidP="00584DF4">
      <w:pPr>
        <w:pStyle w:val="ListParagraph"/>
        <w:numPr>
          <w:ilvl w:val="0"/>
          <w:numId w:val="21"/>
        </w:numPr>
        <w:spacing w:line="360" w:lineRule="auto"/>
        <w:jc w:val="both"/>
      </w:pPr>
      <w:r>
        <w:t xml:space="preserve">The </w:t>
      </w:r>
      <w:r w:rsidR="002F3210">
        <w:t>Aggressive Behavior</w:t>
      </w:r>
      <w:r w:rsidR="00BE69EF">
        <w:t xml:space="preserve"> scale of the </w:t>
      </w:r>
      <w:r w:rsidR="00BE69EF" w:rsidRPr="00E52097">
        <w:t xml:space="preserve">ASEBA Brief Problem Monitor </w:t>
      </w:r>
      <w:bookmarkStart w:id="0" w:name="_GoBack"/>
      <w:bookmarkEnd w:id="0"/>
      <w:r w:rsidR="00BE69EF" w:rsidRPr="00E52097">
        <w:t>(BPM</w:t>
      </w:r>
      <w:r w:rsidR="00BE69EF">
        <w:t xml:space="preserve">; </w:t>
      </w:r>
      <w:r w:rsidR="00D81528">
        <w:fldChar w:fldCharType="begin" w:fldLock="1"/>
      </w:r>
      <w:r w:rsidR="005E1DD5">
        <w:instrText>ADDIN CSL_CITATION {"citationItems":[{"id":"ITEM-1","itemData":{"DOI":"10.1037/a0019602","ISSN":"0022006X","abstract":"To support ongoing monitoring of child response during treatment, we sought to develop a brief, easily administered, clinically relevant, and psychometrically sound measure.","author":[{"dropping-particle":"","family":"Chorpita","given":"Bruce F.","non-dropping-particle":"","parse-names":false,"suffix":""},{"dropping-particle":"","family":"Reise","given":"Steven","non-dropping-particle":"","parse-names":false,"suffix":""},{"dropping-particle":"","family":"Weisz","given":"John R.","non-dropping-particle":"","parse-names":false,"suffix":""},{"dropping-particle":"","family":"Grubbs","given":"Kathleen","non-dropping-particle":"","parse-names":false,"suffix":""},{"dropping-particle":"","family":"Becker","given":"Kimberly D.","non-dropping-particle":"","parse-names":false,"suffix":""},{"dropping-particle":"","family":"Krull","given":"Jennifer L.","non-dropping-particle":"","parse-names":false,"suffix":""}],"container-title":"Journal of Consulting and Clinical Psychology","id":"ITEM-1","issue":"4","issued":{"date-parts":[["2010"]]},"page":"526-536","title":"Evaluation of the brief problem checklist: Child and caregiver interviews to measure clinical progress","type":"article-journal","volume":"78"},"uris":["http://www.mendeley.com/documents/?uuid=53f1901c-b5fb-49f8-ae4a-ed99c7090d5b"]}],"mendeley":{"formattedCitation":"(Chorpita et al. 2010)","manualFormatting":"Chorpita et al. 2010)","plainTextFormattedCitation":"(Chorpita et al. 2010)","previouslyFormattedCitation":"(Chorpita et al. 2010)"},"properties":{"noteIndex":0},"schema":"https://github.com/citation-style-language/schema/raw/master/csl-citation.json"}</w:instrText>
      </w:r>
      <w:r w:rsidR="00D81528">
        <w:fldChar w:fldCharType="separate"/>
      </w:r>
      <w:r w:rsidR="00D81528" w:rsidRPr="00D81528">
        <w:rPr>
          <w:noProof/>
        </w:rPr>
        <w:t>Chorpita et al. 2010)</w:t>
      </w:r>
      <w:r w:rsidR="00D81528">
        <w:fldChar w:fldCharType="end"/>
      </w:r>
      <w:r>
        <w:t xml:space="preserve"> as rated by mothers and father of the twins at age 12</w:t>
      </w:r>
      <w:r w:rsidR="00BE69EF">
        <w:t xml:space="preserve">. </w:t>
      </w:r>
    </w:p>
    <w:p w14:paraId="3B2B35D9" w14:textId="32AAF45B" w:rsidR="009A5519" w:rsidRDefault="009A5519">
      <w:pPr>
        <w:spacing w:before="0" w:after="200" w:line="276" w:lineRule="auto"/>
        <w:rPr>
          <w:rFonts w:eastAsia="Cambria" w:cs="Times New Roman"/>
          <w:b/>
          <w:szCs w:val="24"/>
        </w:rPr>
      </w:pPr>
    </w:p>
    <w:p w14:paraId="62B21A9F" w14:textId="31739BC2" w:rsidR="00152CEF" w:rsidRDefault="0096417D" w:rsidP="00F4503F">
      <w:pPr>
        <w:pStyle w:val="Heading1"/>
        <w:spacing w:line="360" w:lineRule="auto"/>
      </w:pPr>
      <w:r>
        <w:t>References</w:t>
      </w:r>
    </w:p>
    <w:p w14:paraId="03DC6BC0" w14:textId="10B047EC" w:rsidR="005E1DD5" w:rsidRPr="005E1DD5" w:rsidRDefault="00FD0B8B" w:rsidP="00584DF4">
      <w:pPr>
        <w:widowControl w:val="0"/>
        <w:autoSpaceDE w:val="0"/>
        <w:autoSpaceDN w:val="0"/>
        <w:adjustRightInd w:val="0"/>
        <w:spacing w:before="0" w:after="200" w:line="360" w:lineRule="auto"/>
        <w:ind w:left="480" w:hanging="480"/>
        <w:jc w:val="both"/>
        <w:rPr>
          <w:rFonts w:cs="Times New Roman"/>
          <w:noProof/>
          <w:szCs w:val="24"/>
        </w:rPr>
      </w:pPr>
      <w:r>
        <w:fldChar w:fldCharType="begin" w:fldLock="1"/>
      </w:r>
      <w:r>
        <w:instrText xml:space="preserve">ADDIN Mendeley Bibliography CSL_BIBLIOGRAPHY </w:instrText>
      </w:r>
      <w:r>
        <w:fldChar w:fldCharType="separate"/>
      </w:r>
      <w:r w:rsidR="005E1DD5" w:rsidRPr="005E1DD5">
        <w:rPr>
          <w:rFonts w:cs="Times New Roman"/>
          <w:noProof/>
          <w:szCs w:val="24"/>
        </w:rPr>
        <w:t xml:space="preserve">Achenbach, Thomas M., Masha Y. Ivanova, and Leslie A. Rescorla. 2017. “Empirically Based Assessment and Taxonomy of Psychopathology for Ages 1½–90+ Years: Developmental, Multi-Informant, and Multicultural Findings.” </w:t>
      </w:r>
      <w:r w:rsidR="005E1DD5" w:rsidRPr="005E1DD5">
        <w:rPr>
          <w:rFonts w:cs="Times New Roman"/>
          <w:i/>
          <w:iCs/>
          <w:noProof/>
          <w:szCs w:val="24"/>
        </w:rPr>
        <w:t>Comprehensive Psychiatry</w:t>
      </w:r>
      <w:r w:rsidR="005E1DD5" w:rsidRPr="005E1DD5">
        <w:rPr>
          <w:rFonts w:cs="Times New Roman"/>
          <w:noProof/>
          <w:szCs w:val="24"/>
        </w:rPr>
        <w:t xml:space="preserve"> 79: 4–18. https://doi.org/10.1016/j.comppsych.2017.03.006.</w:t>
      </w:r>
    </w:p>
    <w:p w14:paraId="3A1E548E"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szCs w:val="24"/>
        </w:rPr>
      </w:pPr>
      <w:r w:rsidRPr="005E1DD5">
        <w:rPr>
          <w:rFonts w:cs="Times New Roman"/>
          <w:noProof/>
          <w:szCs w:val="24"/>
        </w:rPr>
        <w:t xml:space="preserve">Beck, Jeffrey J., Jouke-Jan Hottenga, Hamdi Mbarek, Casey T. Finnicum, Erik A. Ehli, Yoon-Mi Hur, Nicholas G. Martin, Eco J.C. de Geus, Dorret I. Boomsma, and Gareth E. Davies. 2019. “Genetic Similarity Assessment of Twin-Family Populations by Custom-Designed Genotyping Array.” </w:t>
      </w:r>
      <w:r w:rsidRPr="005E1DD5">
        <w:rPr>
          <w:rFonts w:cs="Times New Roman"/>
          <w:i/>
          <w:iCs/>
          <w:noProof/>
          <w:szCs w:val="24"/>
        </w:rPr>
        <w:t>Twin Research and Human Genetics</w:t>
      </w:r>
      <w:r w:rsidRPr="005E1DD5">
        <w:rPr>
          <w:rFonts w:cs="Times New Roman"/>
          <w:noProof/>
          <w:szCs w:val="24"/>
        </w:rPr>
        <w:t>, August, 1–10. https://doi.org/10.1017/thg.2019.41.</w:t>
      </w:r>
    </w:p>
    <w:p w14:paraId="389EA114"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szCs w:val="24"/>
        </w:rPr>
      </w:pPr>
      <w:r w:rsidRPr="001E4BFC">
        <w:rPr>
          <w:rFonts w:cs="Times New Roman"/>
          <w:noProof/>
          <w:szCs w:val="24"/>
          <w:lang w:val="nl-NL"/>
        </w:rPr>
        <w:t xml:space="preserve">Beijsterveldt, C E M van, F. C. Verhulst, P. C.M. Molenaar, and D. I. Boomsma. </w:t>
      </w:r>
      <w:r w:rsidRPr="005E1DD5">
        <w:rPr>
          <w:rFonts w:cs="Times New Roman"/>
          <w:noProof/>
          <w:szCs w:val="24"/>
        </w:rPr>
        <w:t xml:space="preserve">2004. “The Genetic Basis of Problem Behavior in 5-Year-Old Dutch Twin Pairs.” </w:t>
      </w:r>
      <w:r w:rsidRPr="005E1DD5">
        <w:rPr>
          <w:rFonts w:cs="Times New Roman"/>
          <w:i/>
          <w:iCs/>
          <w:noProof/>
          <w:szCs w:val="24"/>
        </w:rPr>
        <w:t>Behavior Genetics</w:t>
      </w:r>
      <w:r w:rsidRPr="005E1DD5">
        <w:rPr>
          <w:rFonts w:cs="Times New Roman"/>
          <w:noProof/>
          <w:szCs w:val="24"/>
        </w:rPr>
        <w:t xml:space="preserve"> 34 (3): 229–42. https://doi.org/10.1023/B:BEGE.0000017869.30151.fd.</w:t>
      </w:r>
    </w:p>
    <w:p w14:paraId="38965FC5"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szCs w:val="24"/>
        </w:rPr>
      </w:pPr>
      <w:r w:rsidRPr="005E1DD5">
        <w:rPr>
          <w:rFonts w:cs="Times New Roman"/>
          <w:noProof/>
          <w:szCs w:val="24"/>
        </w:rPr>
        <w:t xml:space="preserve">Chorpita, Bruce F., Steven Reise, John R. Weisz, Kathleen Grubbs, Kimberly D. Becker, and Jennifer L. Krull. 2010. “Evaluation of the Brief Problem Checklist: Child and Caregiver Interviews to Measure Clinical Progress.” </w:t>
      </w:r>
      <w:r w:rsidRPr="005E1DD5">
        <w:rPr>
          <w:rFonts w:cs="Times New Roman"/>
          <w:i/>
          <w:iCs/>
          <w:noProof/>
          <w:szCs w:val="24"/>
        </w:rPr>
        <w:t>Journal of Consulting and Clinical Psychology</w:t>
      </w:r>
      <w:r w:rsidRPr="005E1DD5">
        <w:rPr>
          <w:rFonts w:cs="Times New Roman"/>
          <w:noProof/>
          <w:szCs w:val="24"/>
        </w:rPr>
        <w:t xml:space="preserve"> 78 (4): 526–36. https://doi.org/10.1037/a0019602.</w:t>
      </w:r>
    </w:p>
    <w:p w14:paraId="7BE4EACB"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szCs w:val="24"/>
        </w:rPr>
      </w:pPr>
      <w:r w:rsidRPr="001E4BFC">
        <w:rPr>
          <w:rFonts w:cs="Times New Roman"/>
          <w:noProof/>
          <w:szCs w:val="24"/>
          <w:lang w:val="nl-NL"/>
        </w:rPr>
        <w:t xml:space="preserve">Dongen, Jenny Van, Erik A. Ehli, Rick Jansen, Catharina E.M. Van Beijsterveldt, Gonneke Willemsen, Jouke J. Hottenga, Noah A. Kallsen, et al. 2018. </w:t>
      </w:r>
      <w:r w:rsidRPr="005E1DD5">
        <w:rPr>
          <w:rFonts w:cs="Times New Roman"/>
          <w:noProof/>
          <w:szCs w:val="24"/>
        </w:rPr>
        <w:t xml:space="preserve">“Genome-Wide Analysis of DNA Methylation in Buccal Cells: A Study of Monozygotic Twins and MQTLs.” </w:t>
      </w:r>
      <w:r w:rsidRPr="005E1DD5">
        <w:rPr>
          <w:rFonts w:cs="Times New Roman"/>
          <w:i/>
          <w:iCs/>
          <w:noProof/>
          <w:szCs w:val="24"/>
        </w:rPr>
        <w:t>Epigenetics and Chromatin</w:t>
      </w:r>
      <w:r w:rsidRPr="005E1DD5">
        <w:rPr>
          <w:rFonts w:cs="Times New Roman"/>
          <w:noProof/>
          <w:szCs w:val="24"/>
        </w:rPr>
        <w:t xml:space="preserve"> 11 </w:t>
      </w:r>
      <w:r w:rsidRPr="005E1DD5">
        <w:rPr>
          <w:rFonts w:cs="Times New Roman"/>
          <w:noProof/>
          <w:szCs w:val="24"/>
        </w:rPr>
        <w:lastRenderedPageBreak/>
        <w:t>(1): 1–14. https://doi.org/10.1186/s13072-018-0225-x.</w:t>
      </w:r>
    </w:p>
    <w:p w14:paraId="181072F9"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szCs w:val="24"/>
        </w:rPr>
      </w:pPr>
      <w:r w:rsidRPr="005E1DD5">
        <w:rPr>
          <w:rFonts w:cs="Times New Roman"/>
          <w:noProof/>
          <w:szCs w:val="24"/>
        </w:rPr>
        <w:t xml:space="preserve">Ehli, Erik A., Abdel Abdellaoui, Iryna O. Fedko, Charlie Grieser, Sahar Nohzadeh-Malakshah, Gonneke Willemsen, Eco J.C. De Geus, Dorret I. Boomsma, Gareth E. Davies, and Jouke J. Hottenga. 2017. “A Method to Customize Population-Specific Arrays for Genome-Wide Association Testing.” </w:t>
      </w:r>
      <w:r w:rsidRPr="005E1DD5">
        <w:rPr>
          <w:rFonts w:cs="Times New Roman"/>
          <w:i/>
          <w:iCs/>
          <w:noProof/>
          <w:szCs w:val="24"/>
        </w:rPr>
        <w:t>European Journal of Human Genetics</w:t>
      </w:r>
      <w:r w:rsidRPr="005E1DD5">
        <w:rPr>
          <w:rFonts w:cs="Times New Roman"/>
          <w:noProof/>
          <w:szCs w:val="24"/>
        </w:rPr>
        <w:t xml:space="preserve"> 25 (2): 267–70. https://doi.org/10.1038/ejhg.2016.152.</w:t>
      </w:r>
    </w:p>
    <w:p w14:paraId="4A176C6F" w14:textId="77777777" w:rsidR="005E1DD5" w:rsidRPr="001E4BFC" w:rsidRDefault="005E1DD5" w:rsidP="00584DF4">
      <w:pPr>
        <w:widowControl w:val="0"/>
        <w:autoSpaceDE w:val="0"/>
        <w:autoSpaceDN w:val="0"/>
        <w:adjustRightInd w:val="0"/>
        <w:spacing w:before="0" w:after="200" w:line="360" w:lineRule="auto"/>
        <w:ind w:left="480" w:hanging="480"/>
        <w:jc w:val="both"/>
        <w:rPr>
          <w:rFonts w:cs="Times New Roman"/>
          <w:noProof/>
          <w:szCs w:val="24"/>
          <w:lang w:val="nl-NL"/>
        </w:rPr>
      </w:pPr>
      <w:r w:rsidRPr="005E1DD5">
        <w:rPr>
          <w:rFonts w:cs="Times New Roman"/>
          <w:noProof/>
          <w:szCs w:val="24"/>
        </w:rPr>
        <w:t xml:space="preserve">Goodman. 1997. “The Strengths and Difficulties Questionnaire: A Research Note.” </w:t>
      </w:r>
      <w:r w:rsidRPr="005E1DD5">
        <w:rPr>
          <w:rFonts w:cs="Times New Roman"/>
          <w:i/>
          <w:iCs/>
          <w:noProof/>
          <w:szCs w:val="24"/>
        </w:rPr>
        <w:t xml:space="preserve">J. Child Psychol. </w:t>
      </w:r>
      <w:r w:rsidRPr="001E4BFC">
        <w:rPr>
          <w:rFonts w:cs="Times New Roman"/>
          <w:i/>
          <w:iCs/>
          <w:noProof/>
          <w:szCs w:val="24"/>
          <w:lang w:val="nl-NL"/>
        </w:rPr>
        <w:t>Psychiat</w:t>
      </w:r>
      <w:r w:rsidRPr="001E4BFC">
        <w:rPr>
          <w:rFonts w:cs="Times New Roman"/>
          <w:noProof/>
          <w:szCs w:val="24"/>
          <w:lang w:val="nl-NL"/>
        </w:rPr>
        <w:t xml:space="preserve"> 38 (5): 581–86. https://journals-scholarsportal-info.proxy1.lib.uwo.ca/pdf/00219630/v38i0005/581_tsadqarn.xml.</w:t>
      </w:r>
    </w:p>
    <w:p w14:paraId="7FA7BE14"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szCs w:val="24"/>
        </w:rPr>
      </w:pPr>
      <w:r w:rsidRPr="005E1DD5">
        <w:rPr>
          <w:rFonts w:cs="Times New Roman"/>
          <w:noProof/>
          <w:szCs w:val="24"/>
        </w:rPr>
        <w:t xml:space="preserve">Goodman, R. 2001. “Psychometric Properties of the Strengths and Difficulties Questionnaire.” </w:t>
      </w:r>
      <w:r w:rsidRPr="005E1DD5">
        <w:rPr>
          <w:rFonts w:cs="Times New Roman"/>
          <w:i/>
          <w:iCs/>
          <w:noProof/>
          <w:szCs w:val="24"/>
        </w:rPr>
        <w:t>Journal of the American Academy of Child and Adolescent Psychiatry</w:t>
      </w:r>
      <w:r w:rsidRPr="005E1DD5">
        <w:rPr>
          <w:rFonts w:cs="Times New Roman"/>
          <w:noProof/>
          <w:szCs w:val="24"/>
        </w:rPr>
        <w:t xml:space="preserve"> 40 (11): 1337–45. https://doi.org/10.1097/00004583-200111000-00015.</w:t>
      </w:r>
    </w:p>
    <w:p w14:paraId="61340AB6"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szCs w:val="24"/>
        </w:rPr>
      </w:pPr>
      <w:r w:rsidRPr="005E1DD5">
        <w:rPr>
          <w:rFonts w:cs="Times New Roman"/>
          <w:noProof/>
          <w:szCs w:val="24"/>
        </w:rPr>
        <w:t xml:space="preserve">Hansson, Sara Lima, Annika Svanström Röjvall, Maria Rastam, Carina Gillberg, Christopher Gillberg, and Henrik Anckarsäter. 2005. “Psychiatric Telephone Interview with Parents for Screening of Childhood Autism - Tics, Attention-Deficit Hyperactivity Disorder and Other Comorbidities (A-TAC): Preliminary Reliability and Validity.” </w:t>
      </w:r>
      <w:r w:rsidRPr="005E1DD5">
        <w:rPr>
          <w:rFonts w:cs="Times New Roman"/>
          <w:i/>
          <w:iCs/>
          <w:noProof/>
          <w:szCs w:val="24"/>
        </w:rPr>
        <w:t>British Journal of Psychiatry</w:t>
      </w:r>
      <w:r w:rsidRPr="005E1DD5">
        <w:rPr>
          <w:rFonts w:cs="Times New Roman"/>
          <w:noProof/>
          <w:szCs w:val="24"/>
        </w:rPr>
        <w:t xml:space="preserve"> 187 (SEPT.): 262–67. https://doi.org/10.1192/bjp.187.3.262.</w:t>
      </w:r>
    </w:p>
    <w:p w14:paraId="248BD54A" w14:textId="77777777" w:rsidR="005E1DD5" w:rsidRPr="001E4BFC" w:rsidRDefault="005E1DD5" w:rsidP="00584DF4">
      <w:pPr>
        <w:widowControl w:val="0"/>
        <w:autoSpaceDE w:val="0"/>
        <w:autoSpaceDN w:val="0"/>
        <w:adjustRightInd w:val="0"/>
        <w:spacing w:before="0" w:after="200" w:line="360" w:lineRule="auto"/>
        <w:ind w:left="480" w:hanging="480"/>
        <w:jc w:val="both"/>
        <w:rPr>
          <w:rFonts w:cs="Times New Roman"/>
          <w:noProof/>
          <w:szCs w:val="24"/>
          <w:lang w:val="nl-NL"/>
        </w:rPr>
      </w:pPr>
      <w:r w:rsidRPr="005E1DD5">
        <w:rPr>
          <w:rFonts w:cs="Times New Roman"/>
          <w:noProof/>
          <w:szCs w:val="24"/>
        </w:rPr>
        <w:t xml:space="preserve">Kerekes, Nóra, Sebastian Lundström, Zheng Chang, Armin Tajnia, Patrick Jern, Paul Lichtenstein, Thomas Nilsson, and Henrik Anckarsäter. 2014. “Oppositional Defiant- and Conduct Disorder-like Problems: Neurodevelopmental Predictors and Genetic Background in Boys and Girls, in a Nationwide Twin Study.” </w:t>
      </w:r>
      <w:r w:rsidRPr="001E4BFC">
        <w:rPr>
          <w:rFonts w:cs="Times New Roman"/>
          <w:i/>
          <w:iCs/>
          <w:noProof/>
          <w:szCs w:val="24"/>
          <w:lang w:val="nl-NL"/>
        </w:rPr>
        <w:t>PeerJ</w:t>
      </w:r>
      <w:r w:rsidRPr="001E4BFC">
        <w:rPr>
          <w:rFonts w:cs="Times New Roman"/>
          <w:noProof/>
          <w:szCs w:val="24"/>
          <w:lang w:val="nl-NL"/>
        </w:rPr>
        <w:t xml:space="preserve"> 2: e359. https://doi.org/10.7717/peerj.359.</w:t>
      </w:r>
    </w:p>
    <w:p w14:paraId="23824450"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szCs w:val="24"/>
        </w:rPr>
      </w:pPr>
      <w:r w:rsidRPr="001E4BFC">
        <w:rPr>
          <w:rFonts w:cs="Times New Roman"/>
          <w:noProof/>
          <w:szCs w:val="24"/>
          <w:lang w:val="nl-NL"/>
        </w:rPr>
        <w:t xml:space="preserve">Molenaar, Dylan, Christel Middeldorp, Toos van Beijsterveldt, and Dorret I. Boomsma. </w:t>
      </w:r>
      <w:r w:rsidRPr="005E1DD5">
        <w:rPr>
          <w:rFonts w:cs="Times New Roman"/>
          <w:noProof/>
          <w:szCs w:val="24"/>
        </w:rPr>
        <w:t xml:space="preserve">2015. “Analysis of Behavioral and Emotional Problems in Children Highlights the Role of Genotype × Environment Interaction.” </w:t>
      </w:r>
      <w:r w:rsidRPr="005E1DD5">
        <w:rPr>
          <w:rFonts w:cs="Times New Roman"/>
          <w:i/>
          <w:iCs/>
          <w:noProof/>
          <w:szCs w:val="24"/>
        </w:rPr>
        <w:t>Child Development</w:t>
      </w:r>
      <w:r w:rsidRPr="005E1DD5">
        <w:rPr>
          <w:rFonts w:cs="Times New Roman"/>
          <w:noProof/>
          <w:szCs w:val="24"/>
        </w:rPr>
        <w:t xml:space="preserve"> 86 (6): 1999–2016. https://doi.org/10.1111/cdev.12451.</w:t>
      </w:r>
    </w:p>
    <w:p w14:paraId="57836F07" w14:textId="77777777" w:rsidR="005E1DD5" w:rsidRPr="005E1DD5" w:rsidRDefault="005E1DD5" w:rsidP="00584DF4">
      <w:pPr>
        <w:widowControl w:val="0"/>
        <w:autoSpaceDE w:val="0"/>
        <w:autoSpaceDN w:val="0"/>
        <w:adjustRightInd w:val="0"/>
        <w:spacing w:before="0" w:after="200" w:line="360" w:lineRule="auto"/>
        <w:ind w:left="480" w:hanging="480"/>
        <w:jc w:val="both"/>
        <w:rPr>
          <w:rFonts w:cs="Times New Roman"/>
          <w:noProof/>
        </w:rPr>
      </w:pPr>
      <w:r w:rsidRPr="005E1DD5">
        <w:rPr>
          <w:rFonts w:cs="Times New Roman"/>
          <w:noProof/>
          <w:szCs w:val="24"/>
        </w:rPr>
        <w:t xml:space="preserve">Odintsova, Veronika V., Peter J. Roetman, Hill F Ip, René Pool, Camiel M. Van der Laan, Klodiana-Daphne Tona, Robert R.J.M. Vermeiren, and Dorret I. Boomsma. 2019. “Genomics of Human Aggression.” </w:t>
      </w:r>
      <w:r w:rsidRPr="005E1DD5">
        <w:rPr>
          <w:rFonts w:cs="Times New Roman"/>
          <w:i/>
          <w:iCs/>
          <w:noProof/>
          <w:szCs w:val="24"/>
        </w:rPr>
        <w:t>Psychiatric Genetics</w:t>
      </w:r>
      <w:r w:rsidRPr="005E1DD5">
        <w:rPr>
          <w:rFonts w:cs="Times New Roman"/>
          <w:noProof/>
          <w:szCs w:val="24"/>
        </w:rPr>
        <w:t xml:space="preserve"> 29 (5): 170–90. </w:t>
      </w:r>
      <w:r w:rsidRPr="005E1DD5">
        <w:rPr>
          <w:rFonts w:cs="Times New Roman"/>
          <w:noProof/>
          <w:szCs w:val="24"/>
        </w:rPr>
        <w:lastRenderedPageBreak/>
        <w:t>https://doi.org/10.1097/YPG.0000000000000239.</w:t>
      </w:r>
    </w:p>
    <w:p w14:paraId="72592510" w14:textId="62F7F984" w:rsidR="008F05E4" w:rsidRPr="00D60A02" w:rsidRDefault="00FD0B8B" w:rsidP="00584DF4">
      <w:pPr>
        <w:spacing w:before="0" w:after="200" w:line="360" w:lineRule="auto"/>
        <w:jc w:val="both"/>
        <w:rPr>
          <w:color w:val="000000"/>
        </w:rPr>
      </w:pPr>
      <w:r>
        <w:fldChar w:fldCharType="end"/>
      </w:r>
    </w:p>
    <w:sectPr w:rsidR="008F05E4" w:rsidRPr="00D60A02" w:rsidSect="0093429D">
      <w:headerReference w:type="even" r:id="rId9"/>
      <w:footerReference w:type="even" r:id="rId10"/>
      <w:footerReference w:type="default" r:id="rId11"/>
      <w:headerReference w:type="first" r:id="rId12"/>
      <w:pgSz w:w="12240" w:h="15840"/>
      <w:pgMar w:top="1138" w:right="1181" w:bottom="1138" w:left="1282"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66DB0D" w16cid:durableId="218789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6CA12" w14:textId="77777777" w:rsidR="00320A29" w:rsidRDefault="00320A29" w:rsidP="00117666">
      <w:pPr>
        <w:spacing w:after="0"/>
      </w:pPr>
      <w:r>
        <w:separator/>
      </w:r>
    </w:p>
  </w:endnote>
  <w:endnote w:type="continuationSeparator" w:id="0">
    <w:p w14:paraId="17CAF339" w14:textId="77777777" w:rsidR="00320A29" w:rsidRDefault="00320A29" w:rsidP="00117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3025F" w14:textId="77777777" w:rsidR="00995F6A" w:rsidRPr="00577C4C" w:rsidRDefault="00C52A7B">
    <w:pPr>
      <w:rPr>
        <w:color w:val="C00000"/>
        <w:szCs w:val="24"/>
      </w:rPr>
    </w:pPr>
    <w:r>
      <w:rPr>
        <w:noProof/>
        <w:lang w:val="nl-NL" w:eastAsia="nl-NL"/>
      </w:rPr>
      <mc:AlternateContent>
        <mc:Choice Requires="wps">
          <w:drawing>
            <wp:anchor distT="0" distB="0" distL="114300" distR="114300" simplePos="0" relativeHeight="251659264" behindDoc="0" locked="0" layoutInCell="1" allowOverlap="1" wp14:anchorId="382EAD14" wp14:editId="71B2BC98">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50BC4D33" w14:textId="26504684"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5A2F03">
                            <w:rPr>
                              <w:noProof/>
                              <w:color w:val="000000" w:themeColor="text1"/>
                              <w:szCs w:val="40"/>
                            </w:rPr>
                            <w:t>8</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EAD14" id="_x0000_t202" coordsize="21600,21600" o:spt="202" path="m,l,21600r21600,l21600,xe">
              <v:stroke joinstyle="miter"/>
              <v:path gradientshapeok="t" o:connecttype="rect"/>
            </v:shapetype>
            <v:shape id="Text Box 1"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" filled="f" stroked="f" strokeweight=".5pt">
              <v:textbox style="mso-fit-shape-to-text:t">
                <w:txbxContent>
                  <w:p w14:paraId="50BC4D33" w14:textId="26504684"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5A2F03">
                      <w:rPr>
                        <w:noProof/>
                        <w:color w:val="000000" w:themeColor="text1"/>
                        <w:szCs w:val="40"/>
                      </w:rPr>
                      <w:t>8</w:t>
                    </w:r>
                    <w:r w:rsidRPr="00577C4C">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D6A35" w14:textId="77777777" w:rsidR="00995F6A" w:rsidRPr="00577C4C" w:rsidRDefault="00C52A7B">
    <w:pPr>
      <w:rPr>
        <w:b/>
        <w:sz w:val="20"/>
        <w:szCs w:val="24"/>
      </w:rPr>
    </w:pPr>
    <w:r>
      <w:rPr>
        <w:noProof/>
        <w:lang w:val="nl-NL" w:eastAsia="nl-NL"/>
      </w:rPr>
      <mc:AlternateContent>
        <mc:Choice Requires="wps">
          <w:drawing>
            <wp:anchor distT="0" distB="0" distL="114300" distR="114300" simplePos="0" relativeHeight="251646976" behindDoc="0" locked="0" layoutInCell="1" allowOverlap="1" wp14:anchorId="70F9F55F" wp14:editId="40473BEB">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570F0D09" w14:textId="4C70172C"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5A2F03">
                            <w:rPr>
                              <w:noProof/>
                              <w:color w:val="000000" w:themeColor="text1"/>
                              <w:szCs w:val="40"/>
                            </w:rPr>
                            <w:t>9</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F9F55F" id="_x0000_t202" coordsize="21600,21600" o:spt="202" path="m,l,21600r21600,l21600,xe">
              <v:stroke joinstyle="miter"/>
              <v:path gradientshapeok="t" o:connecttype="rect"/>
            </v:shapetype>
            <v:shape id="Text Box 56" o:spid="_x0000_s1027" type="#_x0000_t202" style="position:absolute;margin-left:67.6pt;margin-top:0;width:118.8pt;height:31.15pt;z-index:251646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" filled="f" stroked="f" strokeweight=".5pt">
              <v:textbox style="mso-fit-shape-to-text:t">
                <w:txbxContent>
                  <w:p w14:paraId="570F0D09" w14:textId="4C70172C" w:rsidR="00995F6A" w:rsidRPr="00577C4C" w:rsidRDefault="00C52A7B">
                    <w:pP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5A2F03">
                      <w:rPr>
                        <w:noProof/>
                        <w:color w:val="000000" w:themeColor="text1"/>
                        <w:szCs w:val="40"/>
                      </w:rPr>
                      <w:t>9</w:t>
                    </w:r>
                    <w:r w:rsidRPr="00577C4C">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53D08" w14:textId="77777777" w:rsidR="00320A29" w:rsidRDefault="00320A29" w:rsidP="00117666">
      <w:pPr>
        <w:spacing w:after="0"/>
      </w:pPr>
      <w:r>
        <w:separator/>
      </w:r>
    </w:p>
  </w:footnote>
  <w:footnote w:type="continuationSeparator" w:id="0">
    <w:p w14:paraId="703750C4" w14:textId="77777777" w:rsidR="00320A29" w:rsidRDefault="00320A29" w:rsidP="001176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EF00C" w14:textId="77777777" w:rsidR="00995F6A" w:rsidRPr="009151AA" w:rsidRDefault="00C52A7B">
    <w:pPr>
      <w:rPr>
        <w:rFonts w:cs="Times New Roman"/>
      </w:rPr>
    </w:pPr>
    <w:r w:rsidRPr="009151AA">
      <w:rPr>
        <w:rFonts w:cs="Times New Roman"/>
      </w:rPr>
      <w:ptab w:relativeTo="margin" w:alignment="center" w:leader="none"/>
    </w:r>
    <w:r w:rsidRPr="009151AA">
      <w:rPr>
        <w:rFonts w:cs="Times New Roman"/>
      </w:rPr>
      <w:ptab w:relativeTo="margin" w:alignment="right" w:leader="none"/>
    </w:r>
    <w:r w:rsidR="001549D3" w:rsidRPr="009151AA">
      <w:rPr>
        <w:rFonts w:cs="Times New Roman"/>
      </w:rPr>
      <w:t>Supplementary Material</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D68C6" w14:textId="77777777" w:rsidR="00995F6A" w:rsidRDefault="0093429D" w:rsidP="0093429D">
    <w:r w:rsidRPr="005A1D84">
      <w:rPr>
        <w:b/>
        <w:noProof/>
        <w:color w:val="A6A6A6" w:themeColor="background1" w:themeShade="A6"/>
        <w:lang w:val="nl-NL" w:eastAsia="nl-NL"/>
      </w:rPr>
      <w:drawing>
        <wp:inline distT="0" distB="0" distL="0" distR="0" wp14:anchorId="07D26A56" wp14:editId="2E460F0E">
          <wp:extent cx="1382534" cy="497091"/>
          <wp:effectExtent l="0" t="0" r="0" b="0"/>
          <wp:docPr id="7" name="Picture 7" descr="C:\Users\Elaine.Scott\Documents\LaTex\____TEST____Frontiers_LaTeX_Templates_V2.5\Frontiers LaTeX (Science, Health and Engineering) V2.5 - with Supplementary material (V1.2)\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ine.Scott\Documents\LaTex\____TEST____Frontiers_LaTeX_Templates_V2.5\Frontiers LaTeX (Science, Health and Engineering) V2.5 - with Supplementary material (V1.2)\log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4909" cy="551877"/>
                  </a:xfrm>
                  <a:prstGeom prst="rect">
                    <a:avLst/>
                  </a:prstGeom>
                  <a:noFill/>
                  <a:ln>
                    <a:noFill/>
                  </a:ln>
                </pic:spPr>
              </pic:pic>
            </a:graphicData>
          </a:graphic>
        </wp:inline>
      </w:drawing>
    </w:r>
    <w:r w:rsidR="00C52A7B" w:rsidRPr="007E3148">
      <w:rPr>
        <w:b/>
      </w:rPr>
      <w:ptab w:relativeTo="margin" w:alignment="center" w:leader="none"/>
    </w:r>
    <w:r w:rsidR="00C52A7B">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7666"/>
    <w:multiLevelType w:val="multilevel"/>
    <w:tmpl w:val="615EAD26"/>
    <w:lvl w:ilvl="0">
      <w:start w:val="1"/>
      <w:numFmt w:val="decimal"/>
      <w:lvlText w:val="%1."/>
      <w:lvlJc w:val="left"/>
      <w:pPr>
        <w:ind w:left="0" w:firstLine="0"/>
      </w:pPr>
      <w:rPr>
        <w:rFonts w:hint="default"/>
        <w:b/>
        <w:lang w:val="en-G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0601A"/>
    <w:multiLevelType w:val="multilevel"/>
    <w:tmpl w:val="2D740DBE"/>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567"/>
        </w:tabs>
        <w:ind w:left="567" w:hanging="567"/>
      </w:pPr>
      <w:rPr>
        <w:rFonts w:hint="default"/>
      </w:rPr>
    </w:lvl>
    <w:lvl w:ilvl="3">
      <w:start w:val="1"/>
      <w:numFmt w:val="decimal"/>
      <w:pStyle w:val="Heading4"/>
      <w:lvlText w:val="%1.%2.%3.%4"/>
      <w:lvlJc w:val="left"/>
      <w:pPr>
        <w:tabs>
          <w:tab w:val="num" w:pos="567"/>
        </w:tabs>
        <w:ind w:left="567" w:hanging="567"/>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3" w15:restartNumberingAfterBreak="0">
    <w:nsid w:val="225305B5"/>
    <w:multiLevelType w:val="hybridMultilevel"/>
    <w:tmpl w:val="4F8C24FA"/>
    <w:lvl w:ilvl="0" w:tplc="A9DCD718">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6A32C7A"/>
    <w:multiLevelType w:val="hybridMultilevel"/>
    <w:tmpl w:val="F5541C0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FD2F42"/>
    <w:multiLevelType w:val="hybridMultilevel"/>
    <w:tmpl w:val="511063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73C1D"/>
    <w:multiLevelType w:val="multilevel"/>
    <w:tmpl w:val="61DCC3B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num w:numId="1">
    <w:abstractNumId w:val="0"/>
  </w:num>
  <w:num w:numId="2">
    <w:abstractNumId w:val="5"/>
  </w:num>
  <w:num w:numId="3">
    <w:abstractNumId w:val="1"/>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8"/>
  </w:num>
  <w:num w:numId="9">
    <w:abstractNumId w:val="8"/>
  </w:num>
  <w:num w:numId="10">
    <w:abstractNumId w:val="8"/>
  </w:num>
  <w:num w:numId="11">
    <w:abstractNumId w:val="8"/>
  </w:num>
  <w:num w:numId="12">
    <w:abstractNumId w:val="8"/>
  </w:num>
  <w:num w:numId="13">
    <w:abstractNumId w:val="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6"/>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0B5"/>
    <w:rsid w:val="000139E8"/>
    <w:rsid w:val="0001436A"/>
    <w:rsid w:val="00021180"/>
    <w:rsid w:val="00034304"/>
    <w:rsid w:val="00035434"/>
    <w:rsid w:val="00045C58"/>
    <w:rsid w:val="00052A14"/>
    <w:rsid w:val="00077D53"/>
    <w:rsid w:val="000807B6"/>
    <w:rsid w:val="00092D57"/>
    <w:rsid w:val="000B40F0"/>
    <w:rsid w:val="000B6126"/>
    <w:rsid w:val="00105FD9"/>
    <w:rsid w:val="00117666"/>
    <w:rsid w:val="00141D17"/>
    <w:rsid w:val="00146060"/>
    <w:rsid w:val="00152CEF"/>
    <w:rsid w:val="00153B6A"/>
    <w:rsid w:val="00154456"/>
    <w:rsid w:val="001549D3"/>
    <w:rsid w:val="00160065"/>
    <w:rsid w:val="00177D84"/>
    <w:rsid w:val="001D524E"/>
    <w:rsid w:val="001E4BFC"/>
    <w:rsid w:val="00214E5F"/>
    <w:rsid w:val="00225428"/>
    <w:rsid w:val="002337C2"/>
    <w:rsid w:val="00242FFA"/>
    <w:rsid w:val="0026778B"/>
    <w:rsid w:val="00267D18"/>
    <w:rsid w:val="00274347"/>
    <w:rsid w:val="002868E2"/>
    <w:rsid w:val="002869C3"/>
    <w:rsid w:val="00292CD0"/>
    <w:rsid w:val="002936E4"/>
    <w:rsid w:val="002A0E6B"/>
    <w:rsid w:val="002B4A57"/>
    <w:rsid w:val="002C398D"/>
    <w:rsid w:val="002C74CA"/>
    <w:rsid w:val="002F3210"/>
    <w:rsid w:val="002F43A4"/>
    <w:rsid w:val="00300813"/>
    <w:rsid w:val="003123F4"/>
    <w:rsid w:val="00320A29"/>
    <w:rsid w:val="00326A19"/>
    <w:rsid w:val="003544FB"/>
    <w:rsid w:val="0039178F"/>
    <w:rsid w:val="0039337C"/>
    <w:rsid w:val="003D2F2D"/>
    <w:rsid w:val="003D3104"/>
    <w:rsid w:val="00401590"/>
    <w:rsid w:val="00447801"/>
    <w:rsid w:val="00452E9C"/>
    <w:rsid w:val="00466979"/>
    <w:rsid w:val="004735C8"/>
    <w:rsid w:val="004947A6"/>
    <w:rsid w:val="00494E9B"/>
    <w:rsid w:val="004961FF"/>
    <w:rsid w:val="004A0C0D"/>
    <w:rsid w:val="004F700A"/>
    <w:rsid w:val="00517A89"/>
    <w:rsid w:val="005250F2"/>
    <w:rsid w:val="00532BD3"/>
    <w:rsid w:val="00535B5E"/>
    <w:rsid w:val="00547A83"/>
    <w:rsid w:val="00576428"/>
    <w:rsid w:val="00584DF4"/>
    <w:rsid w:val="00593EEA"/>
    <w:rsid w:val="00595059"/>
    <w:rsid w:val="005A2F03"/>
    <w:rsid w:val="005A5EEE"/>
    <w:rsid w:val="005B5085"/>
    <w:rsid w:val="005E1DD5"/>
    <w:rsid w:val="005E7A40"/>
    <w:rsid w:val="00617A6C"/>
    <w:rsid w:val="006375C7"/>
    <w:rsid w:val="00654E8F"/>
    <w:rsid w:val="00660D05"/>
    <w:rsid w:val="006820B1"/>
    <w:rsid w:val="006B7D14"/>
    <w:rsid w:val="006D44FD"/>
    <w:rsid w:val="006E7D61"/>
    <w:rsid w:val="00701727"/>
    <w:rsid w:val="0070566C"/>
    <w:rsid w:val="00714C50"/>
    <w:rsid w:val="00725A7D"/>
    <w:rsid w:val="007501BE"/>
    <w:rsid w:val="007668E6"/>
    <w:rsid w:val="00790BB3"/>
    <w:rsid w:val="007B14B8"/>
    <w:rsid w:val="007C206C"/>
    <w:rsid w:val="007E064D"/>
    <w:rsid w:val="00817DD6"/>
    <w:rsid w:val="00823B89"/>
    <w:rsid w:val="0083759F"/>
    <w:rsid w:val="008572E0"/>
    <w:rsid w:val="00885156"/>
    <w:rsid w:val="00886603"/>
    <w:rsid w:val="00890ABF"/>
    <w:rsid w:val="008C1ADB"/>
    <w:rsid w:val="008F05E4"/>
    <w:rsid w:val="009151AA"/>
    <w:rsid w:val="0093429D"/>
    <w:rsid w:val="00943573"/>
    <w:rsid w:val="00960DC0"/>
    <w:rsid w:val="00964134"/>
    <w:rsid w:val="0096417D"/>
    <w:rsid w:val="00970F7D"/>
    <w:rsid w:val="0098717A"/>
    <w:rsid w:val="00994A3D"/>
    <w:rsid w:val="009A5519"/>
    <w:rsid w:val="009C2B12"/>
    <w:rsid w:val="00A0139A"/>
    <w:rsid w:val="00A04AB2"/>
    <w:rsid w:val="00A0518D"/>
    <w:rsid w:val="00A13E79"/>
    <w:rsid w:val="00A174D9"/>
    <w:rsid w:val="00A53D8D"/>
    <w:rsid w:val="00AA4D24"/>
    <w:rsid w:val="00AB6715"/>
    <w:rsid w:val="00B0656F"/>
    <w:rsid w:val="00B1671E"/>
    <w:rsid w:val="00B25EB8"/>
    <w:rsid w:val="00B27D4A"/>
    <w:rsid w:val="00B37F4D"/>
    <w:rsid w:val="00B41733"/>
    <w:rsid w:val="00B60372"/>
    <w:rsid w:val="00B64069"/>
    <w:rsid w:val="00BB1876"/>
    <w:rsid w:val="00BE69EF"/>
    <w:rsid w:val="00BF2289"/>
    <w:rsid w:val="00C14D69"/>
    <w:rsid w:val="00C42AA6"/>
    <w:rsid w:val="00C52A7B"/>
    <w:rsid w:val="00C56BAF"/>
    <w:rsid w:val="00C679AA"/>
    <w:rsid w:val="00C75972"/>
    <w:rsid w:val="00C90883"/>
    <w:rsid w:val="00CD066B"/>
    <w:rsid w:val="00CE4FEE"/>
    <w:rsid w:val="00CF1DAF"/>
    <w:rsid w:val="00CF574A"/>
    <w:rsid w:val="00D060CF"/>
    <w:rsid w:val="00D24BD1"/>
    <w:rsid w:val="00D46A37"/>
    <w:rsid w:val="00D60A02"/>
    <w:rsid w:val="00D620CC"/>
    <w:rsid w:val="00D65767"/>
    <w:rsid w:val="00D73F5E"/>
    <w:rsid w:val="00D81528"/>
    <w:rsid w:val="00DA03F1"/>
    <w:rsid w:val="00DB59C3"/>
    <w:rsid w:val="00DB61CD"/>
    <w:rsid w:val="00DB6D35"/>
    <w:rsid w:val="00DC259A"/>
    <w:rsid w:val="00DD09B8"/>
    <w:rsid w:val="00DE23E8"/>
    <w:rsid w:val="00DF72DC"/>
    <w:rsid w:val="00E44FD6"/>
    <w:rsid w:val="00E52097"/>
    <w:rsid w:val="00E52377"/>
    <w:rsid w:val="00E537AD"/>
    <w:rsid w:val="00E64E17"/>
    <w:rsid w:val="00E72CE7"/>
    <w:rsid w:val="00E866C9"/>
    <w:rsid w:val="00EA3D3C"/>
    <w:rsid w:val="00EC090A"/>
    <w:rsid w:val="00ED20B5"/>
    <w:rsid w:val="00F13FED"/>
    <w:rsid w:val="00F207D9"/>
    <w:rsid w:val="00F37107"/>
    <w:rsid w:val="00F37193"/>
    <w:rsid w:val="00F4503F"/>
    <w:rsid w:val="00F46900"/>
    <w:rsid w:val="00F52624"/>
    <w:rsid w:val="00F61D89"/>
    <w:rsid w:val="00F73D39"/>
    <w:rsid w:val="00F87B0E"/>
    <w:rsid w:val="00F95A6B"/>
    <w:rsid w:val="00FC76C4"/>
    <w:rsid w:val="00FD0B8B"/>
    <w:rsid w:val="00FF3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DB94A"/>
  <w15:docId w15:val="{1D32754D-3C0D-40EC-947C-E4DEC0063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715"/>
    <w:pPr>
      <w:spacing w:before="120" w:after="240" w:line="240" w:lineRule="auto"/>
    </w:pPr>
    <w:rPr>
      <w:rFonts w:ascii="Times New Roman" w:hAnsi="Times New Roman"/>
      <w:sz w:val="24"/>
    </w:rPr>
  </w:style>
  <w:style w:type="paragraph" w:styleId="Heading1">
    <w:name w:val="heading 1"/>
    <w:basedOn w:val="ListParagraph"/>
    <w:next w:val="Normal"/>
    <w:link w:val="Heading1Char"/>
    <w:uiPriority w:val="2"/>
    <w:qFormat/>
    <w:rsid w:val="00AB6715"/>
    <w:pPr>
      <w:numPr>
        <w:numId w:val="19"/>
      </w:numPr>
      <w:spacing w:before="240"/>
      <w:contextualSpacing w:val="0"/>
      <w:outlineLvl w:val="0"/>
    </w:pPr>
    <w:rPr>
      <w:b/>
    </w:rPr>
  </w:style>
  <w:style w:type="paragraph" w:styleId="Heading2">
    <w:name w:val="heading 2"/>
    <w:basedOn w:val="Heading1"/>
    <w:next w:val="Normal"/>
    <w:link w:val="Heading2Char"/>
    <w:uiPriority w:val="2"/>
    <w:qFormat/>
    <w:rsid w:val="00AB6715"/>
    <w:pPr>
      <w:numPr>
        <w:ilvl w:val="1"/>
      </w:numPr>
      <w:spacing w:after="200"/>
      <w:outlineLvl w:val="1"/>
    </w:pPr>
  </w:style>
  <w:style w:type="paragraph" w:styleId="Heading3">
    <w:name w:val="heading 3"/>
    <w:basedOn w:val="Normal"/>
    <w:next w:val="Normal"/>
    <w:link w:val="Heading3Char"/>
    <w:uiPriority w:val="2"/>
    <w:qFormat/>
    <w:rsid w:val="00AB6715"/>
    <w:pPr>
      <w:keepNext/>
      <w:keepLines/>
      <w:numPr>
        <w:ilvl w:val="2"/>
        <w:numId w:val="19"/>
      </w:numPr>
      <w:spacing w:before="40" w:after="120"/>
      <w:outlineLvl w:val="2"/>
    </w:pPr>
    <w:rPr>
      <w:rFonts w:eastAsiaTheme="majorEastAsia" w:cstheme="majorBidi"/>
      <w:b/>
      <w:szCs w:val="24"/>
    </w:rPr>
  </w:style>
  <w:style w:type="paragraph" w:styleId="Heading4">
    <w:name w:val="heading 4"/>
    <w:basedOn w:val="Heading3"/>
    <w:next w:val="Normal"/>
    <w:link w:val="Heading4Char"/>
    <w:uiPriority w:val="2"/>
    <w:qFormat/>
    <w:rsid w:val="00AB6715"/>
    <w:pPr>
      <w:numPr>
        <w:ilvl w:val="3"/>
      </w:numPr>
      <w:outlineLvl w:val="3"/>
    </w:pPr>
    <w:rPr>
      <w:iCs/>
    </w:rPr>
  </w:style>
  <w:style w:type="paragraph" w:styleId="Heading5">
    <w:name w:val="heading 5"/>
    <w:basedOn w:val="Heading4"/>
    <w:next w:val="Normal"/>
    <w:link w:val="Heading5Char"/>
    <w:uiPriority w:val="2"/>
    <w:qFormat/>
    <w:rsid w:val="00AB6715"/>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B6715"/>
    <w:rPr>
      <w:rFonts w:ascii="Times New Roman" w:eastAsia="Cambria" w:hAnsi="Times New Roman" w:cs="Times New Roman"/>
      <w:b/>
      <w:sz w:val="24"/>
      <w:szCs w:val="24"/>
    </w:rPr>
  </w:style>
  <w:style w:type="character" w:customStyle="1" w:styleId="Heading2Char">
    <w:name w:val="Heading 2 Char"/>
    <w:basedOn w:val="DefaultParagraphFont"/>
    <w:link w:val="Heading2"/>
    <w:uiPriority w:val="2"/>
    <w:rsid w:val="00AB6715"/>
    <w:rPr>
      <w:rFonts w:ascii="Times New Roman" w:eastAsia="Cambria" w:hAnsi="Times New Roman" w:cs="Times New Roman"/>
      <w:b/>
      <w:sz w:val="24"/>
      <w:szCs w:val="24"/>
    </w:rPr>
  </w:style>
  <w:style w:type="paragraph" w:styleId="Subtitle">
    <w:name w:val="Subtitle"/>
    <w:basedOn w:val="Normal"/>
    <w:next w:val="Normal"/>
    <w:link w:val="SubtitleChar"/>
    <w:uiPriority w:val="99"/>
    <w:unhideWhenUsed/>
    <w:qFormat/>
    <w:rsid w:val="00AB6715"/>
    <w:pPr>
      <w:spacing w:before="240"/>
    </w:pPr>
    <w:rPr>
      <w:rFonts w:cs="Times New Roman"/>
      <w:b/>
      <w:szCs w:val="24"/>
    </w:rPr>
  </w:style>
  <w:style w:type="character" w:customStyle="1" w:styleId="SubtitleChar">
    <w:name w:val="Subtitle Char"/>
    <w:basedOn w:val="DefaultParagraphFont"/>
    <w:link w:val="Subtitle"/>
    <w:uiPriority w:val="99"/>
    <w:rsid w:val="00AB6715"/>
    <w:rPr>
      <w:rFonts w:ascii="Times New Roman" w:hAnsi="Times New Roman" w:cs="Times New Roman"/>
      <w:b/>
      <w:sz w:val="24"/>
      <w:szCs w:val="24"/>
    </w:rPr>
  </w:style>
  <w:style w:type="paragraph" w:customStyle="1" w:styleId="AuthorList">
    <w:name w:val="Author List"/>
    <w:aliases w:val="Keywords,Abstract"/>
    <w:basedOn w:val="Subtitle"/>
    <w:next w:val="Normal"/>
    <w:uiPriority w:val="1"/>
    <w:qFormat/>
    <w:rsid w:val="00AB6715"/>
  </w:style>
  <w:style w:type="paragraph" w:styleId="BalloonText">
    <w:name w:val="Balloon Text"/>
    <w:basedOn w:val="Normal"/>
    <w:link w:val="BalloonTextChar"/>
    <w:uiPriority w:val="99"/>
    <w:semiHidden/>
    <w:unhideWhenUsed/>
    <w:rsid w:val="00AB671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715"/>
    <w:rPr>
      <w:rFonts w:ascii="Tahoma" w:hAnsi="Tahoma" w:cs="Tahoma"/>
      <w:sz w:val="16"/>
      <w:szCs w:val="16"/>
    </w:rPr>
  </w:style>
  <w:style w:type="character" w:styleId="BookTitle">
    <w:name w:val="Book Title"/>
    <w:basedOn w:val="DefaultParagraphFont"/>
    <w:uiPriority w:val="33"/>
    <w:qFormat/>
    <w:rsid w:val="00AB6715"/>
    <w:rPr>
      <w:rFonts w:ascii="Times New Roman" w:hAnsi="Times New Roman"/>
      <w:b/>
      <w:bCs/>
      <w:i/>
      <w:iCs/>
      <w:spacing w:val="5"/>
    </w:rPr>
  </w:style>
  <w:style w:type="paragraph" w:styleId="Caption">
    <w:name w:val="caption"/>
    <w:basedOn w:val="Normal"/>
    <w:next w:val="NoSpacing"/>
    <w:uiPriority w:val="35"/>
    <w:unhideWhenUsed/>
    <w:qFormat/>
    <w:rsid w:val="00AB6715"/>
    <w:pPr>
      <w:keepNext/>
    </w:pPr>
    <w:rPr>
      <w:rFonts w:cs="Times New Roman"/>
      <w:b/>
      <w:bCs/>
      <w:szCs w:val="24"/>
    </w:rPr>
  </w:style>
  <w:style w:type="paragraph" w:styleId="NoSpacing">
    <w:name w:val="No Spacing"/>
    <w:uiPriority w:val="99"/>
    <w:unhideWhenUsed/>
    <w:qFormat/>
    <w:rsid w:val="00AB6715"/>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AB6715"/>
    <w:rPr>
      <w:sz w:val="16"/>
      <w:szCs w:val="16"/>
    </w:rPr>
  </w:style>
  <w:style w:type="paragraph" w:styleId="CommentText">
    <w:name w:val="annotation text"/>
    <w:basedOn w:val="Normal"/>
    <w:link w:val="CommentTextChar"/>
    <w:uiPriority w:val="99"/>
    <w:semiHidden/>
    <w:unhideWhenUsed/>
    <w:rsid w:val="00AB6715"/>
    <w:rPr>
      <w:sz w:val="20"/>
      <w:szCs w:val="20"/>
    </w:rPr>
  </w:style>
  <w:style w:type="character" w:customStyle="1" w:styleId="CommentTextChar">
    <w:name w:val="Comment Text Char"/>
    <w:basedOn w:val="DefaultParagraphFont"/>
    <w:link w:val="CommentText"/>
    <w:uiPriority w:val="99"/>
    <w:semiHidden/>
    <w:rsid w:val="00AB671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B6715"/>
    <w:rPr>
      <w:b/>
      <w:bCs/>
    </w:rPr>
  </w:style>
  <w:style w:type="character" w:customStyle="1" w:styleId="CommentSubjectChar">
    <w:name w:val="Comment Subject Char"/>
    <w:basedOn w:val="CommentTextChar"/>
    <w:link w:val="CommentSubject"/>
    <w:uiPriority w:val="99"/>
    <w:semiHidden/>
    <w:rsid w:val="00AB6715"/>
    <w:rPr>
      <w:rFonts w:ascii="Times New Roman" w:hAnsi="Times New Roman"/>
      <w:b/>
      <w:bCs/>
      <w:sz w:val="20"/>
      <w:szCs w:val="20"/>
    </w:rPr>
  </w:style>
  <w:style w:type="character" w:styleId="Emphasis">
    <w:name w:val="Emphasis"/>
    <w:basedOn w:val="DefaultParagraphFont"/>
    <w:uiPriority w:val="20"/>
    <w:qFormat/>
    <w:rsid w:val="00AB6715"/>
    <w:rPr>
      <w:rFonts w:ascii="Times New Roman" w:hAnsi="Times New Roman"/>
      <w:i/>
      <w:iCs/>
    </w:rPr>
  </w:style>
  <w:style w:type="character" w:styleId="EndnoteReference">
    <w:name w:val="endnote reference"/>
    <w:basedOn w:val="DefaultParagraphFont"/>
    <w:uiPriority w:val="99"/>
    <w:semiHidden/>
    <w:unhideWhenUsed/>
    <w:rsid w:val="00AB6715"/>
    <w:rPr>
      <w:vertAlign w:val="superscript"/>
    </w:rPr>
  </w:style>
  <w:style w:type="paragraph" w:styleId="EndnoteText">
    <w:name w:val="endnote text"/>
    <w:basedOn w:val="Normal"/>
    <w:link w:val="EndnoteTextChar"/>
    <w:uiPriority w:val="99"/>
    <w:semiHidden/>
    <w:unhideWhenUsed/>
    <w:rsid w:val="00AB6715"/>
    <w:pPr>
      <w:spacing w:after="0"/>
    </w:pPr>
    <w:rPr>
      <w:sz w:val="20"/>
      <w:szCs w:val="20"/>
    </w:rPr>
  </w:style>
  <w:style w:type="character" w:customStyle="1" w:styleId="EndnoteTextChar">
    <w:name w:val="Endnote Text Char"/>
    <w:basedOn w:val="DefaultParagraphFont"/>
    <w:link w:val="EndnoteText"/>
    <w:uiPriority w:val="99"/>
    <w:semiHidden/>
    <w:rsid w:val="00AB6715"/>
    <w:rPr>
      <w:rFonts w:ascii="Times New Roman" w:hAnsi="Times New Roman"/>
      <w:sz w:val="20"/>
      <w:szCs w:val="20"/>
    </w:rPr>
  </w:style>
  <w:style w:type="character" w:styleId="FollowedHyperlink">
    <w:name w:val="FollowedHyperlink"/>
    <w:basedOn w:val="DefaultParagraphFont"/>
    <w:uiPriority w:val="99"/>
    <w:semiHidden/>
    <w:unhideWhenUsed/>
    <w:rsid w:val="00AB6715"/>
    <w:rPr>
      <w:color w:val="800080" w:themeColor="followedHyperlink"/>
      <w:u w:val="single"/>
    </w:rPr>
  </w:style>
  <w:style w:type="paragraph" w:styleId="Footer">
    <w:name w:val="footer"/>
    <w:basedOn w:val="Normal"/>
    <w:link w:val="FooterChar"/>
    <w:uiPriority w:val="99"/>
    <w:unhideWhenUsed/>
    <w:rsid w:val="00AB6715"/>
    <w:pPr>
      <w:tabs>
        <w:tab w:val="center" w:pos="4844"/>
        <w:tab w:val="right" w:pos="9689"/>
      </w:tabs>
      <w:spacing w:after="0"/>
    </w:pPr>
  </w:style>
  <w:style w:type="character" w:customStyle="1" w:styleId="FooterChar">
    <w:name w:val="Footer Char"/>
    <w:basedOn w:val="DefaultParagraphFont"/>
    <w:link w:val="Footer"/>
    <w:uiPriority w:val="99"/>
    <w:rsid w:val="00AB6715"/>
    <w:rPr>
      <w:rFonts w:ascii="Times New Roman" w:hAnsi="Times New Roman"/>
      <w:sz w:val="24"/>
    </w:rPr>
  </w:style>
  <w:style w:type="character" w:styleId="FootnoteReference">
    <w:name w:val="footnote reference"/>
    <w:basedOn w:val="DefaultParagraphFont"/>
    <w:uiPriority w:val="99"/>
    <w:semiHidden/>
    <w:unhideWhenUsed/>
    <w:rsid w:val="00AB6715"/>
    <w:rPr>
      <w:vertAlign w:val="superscript"/>
    </w:rPr>
  </w:style>
  <w:style w:type="paragraph" w:styleId="FootnoteText">
    <w:name w:val="footnote text"/>
    <w:basedOn w:val="Normal"/>
    <w:link w:val="FootnoteTextChar"/>
    <w:uiPriority w:val="99"/>
    <w:semiHidden/>
    <w:unhideWhenUsed/>
    <w:rsid w:val="00AB6715"/>
    <w:pPr>
      <w:spacing w:after="0"/>
    </w:pPr>
    <w:rPr>
      <w:sz w:val="20"/>
      <w:szCs w:val="20"/>
    </w:rPr>
  </w:style>
  <w:style w:type="character" w:customStyle="1" w:styleId="FootnoteTextChar">
    <w:name w:val="Footnote Text Char"/>
    <w:basedOn w:val="DefaultParagraphFont"/>
    <w:link w:val="FootnoteText"/>
    <w:uiPriority w:val="99"/>
    <w:semiHidden/>
    <w:rsid w:val="00AB6715"/>
    <w:rPr>
      <w:rFonts w:ascii="Times New Roman" w:hAnsi="Times New Roman"/>
      <w:sz w:val="20"/>
      <w:szCs w:val="20"/>
    </w:rPr>
  </w:style>
  <w:style w:type="paragraph" w:styleId="Header">
    <w:name w:val="header"/>
    <w:basedOn w:val="Normal"/>
    <w:link w:val="HeaderChar"/>
    <w:uiPriority w:val="99"/>
    <w:unhideWhenUsed/>
    <w:rsid w:val="00AB6715"/>
    <w:pPr>
      <w:tabs>
        <w:tab w:val="center" w:pos="4844"/>
        <w:tab w:val="right" w:pos="9689"/>
      </w:tabs>
    </w:pPr>
    <w:rPr>
      <w:b/>
    </w:rPr>
  </w:style>
  <w:style w:type="character" w:customStyle="1" w:styleId="HeaderChar">
    <w:name w:val="Header Char"/>
    <w:basedOn w:val="DefaultParagraphFont"/>
    <w:link w:val="Header"/>
    <w:uiPriority w:val="99"/>
    <w:rsid w:val="00AB6715"/>
    <w:rPr>
      <w:rFonts w:ascii="Times New Roman" w:hAnsi="Times New Roman"/>
      <w:b/>
      <w:sz w:val="24"/>
    </w:rPr>
  </w:style>
  <w:style w:type="paragraph" w:styleId="ListParagraph">
    <w:name w:val="List Paragraph"/>
    <w:basedOn w:val="Normal"/>
    <w:uiPriority w:val="3"/>
    <w:qFormat/>
    <w:rsid w:val="00AB6715"/>
    <w:pPr>
      <w:numPr>
        <w:numId w:val="13"/>
      </w:numPr>
      <w:contextualSpacing/>
    </w:pPr>
    <w:rPr>
      <w:rFonts w:eastAsia="Cambria" w:cs="Times New Roman"/>
      <w:szCs w:val="24"/>
    </w:rPr>
  </w:style>
  <w:style w:type="numbering" w:customStyle="1" w:styleId="Headings">
    <w:name w:val="Headings"/>
    <w:uiPriority w:val="99"/>
    <w:rsid w:val="00AB6715"/>
    <w:pPr>
      <w:numPr>
        <w:numId w:val="14"/>
      </w:numPr>
    </w:pPr>
  </w:style>
  <w:style w:type="character" w:styleId="Hyperlink">
    <w:name w:val="Hyperlink"/>
    <w:basedOn w:val="DefaultParagraphFont"/>
    <w:uiPriority w:val="99"/>
    <w:unhideWhenUsed/>
    <w:rsid w:val="00AB6715"/>
    <w:rPr>
      <w:color w:val="0000FF"/>
      <w:u w:val="single"/>
    </w:rPr>
  </w:style>
  <w:style w:type="character" w:styleId="IntenseEmphasis">
    <w:name w:val="Intense Emphasis"/>
    <w:basedOn w:val="DefaultParagraphFont"/>
    <w:uiPriority w:val="21"/>
    <w:unhideWhenUsed/>
    <w:rsid w:val="00AB6715"/>
    <w:rPr>
      <w:rFonts w:ascii="Times New Roman" w:hAnsi="Times New Roman"/>
      <w:i/>
      <w:iCs/>
      <w:color w:val="auto"/>
    </w:rPr>
  </w:style>
  <w:style w:type="character" w:styleId="IntenseReference">
    <w:name w:val="Intense Reference"/>
    <w:basedOn w:val="DefaultParagraphFont"/>
    <w:uiPriority w:val="32"/>
    <w:qFormat/>
    <w:rsid w:val="00AB6715"/>
    <w:rPr>
      <w:b/>
      <w:bCs/>
      <w:smallCaps/>
      <w:color w:val="auto"/>
      <w:spacing w:val="5"/>
    </w:rPr>
  </w:style>
  <w:style w:type="character" w:styleId="LineNumber">
    <w:name w:val="line number"/>
    <w:basedOn w:val="DefaultParagraphFont"/>
    <w:uiPriority w:val="99"/>
    <w:semiHidden/>
    <w:unhideWhenUsed/>
    <w:rsid w:val="00AB6715"/>
  </w:style>
  <w:style w:type="character" w:customStyle="1" w:styleId="Heading3Char">
    <w:name w:val="Heading 3 Char"/>
    <w:basedOn w:val="DefaultParagraphFont"/>
    <w:link w:val="Heading3"/>
    <w:uiPriority w:val="2"/>
    <w:rsid w:val="00AB671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uiPriority w:val="2"/>
    <w:rsid w:val="00AB671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uiPriority w:val="2"/>
    <w:rsid w:val="00AB6715"/>
    <w:rPr>
      <w:rFonts w:ascii="Times New Roman" w:eastAsiaTheme="majorEastAsia" w:hAnsi="Times New Roman" w:cstheme="majorBidi"/>
      <w:b/>
      <w:iCs/>
      <w:sz w:val="24"/>
      <w:szCs w:val="24"/>
    </w:rPr>
  </w:style>
  <w:style w:type="paragraph" w:styleId="NormalWeb">
    <w:name w:val="Normal (Web)"/>
    <w:basedOn w:val="Normal"/>
    <w:uiPriority w:val="99"/>
    <w:unhideWhenUsed/>
    <w:rsid w:val="00AB6715"/>
    <w:pPr>
      <w:spacing w:before="100" w:beforeAutospacing="1" w:after="100" w:afterAutospacing="1"/>
    </w:pPr>
    <w:rPr>
      <w:rFonts w:eastAsia="Times New Roman" w:cs="Times New Roman"/>
      <w:szCs w:val="24"/>
    </w:rPr>
  </w:style>
  <w:style w:type="paragraph" w:styleId="Quote">
    <w:name w:val="Quote"/>
    <w:basedOn w:val="Normal"/>
    <w:next w:val="Normal"/>
    <w:link w:val="QuoteChar"/>
    <w:uiPriority w:val="29"/>
    <w:qFormat/>
    <w:rsid w:val="00AB67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6715"/>
    <w:rPr>
      <w:rFonts w:ascii="Times New Roman" w:hAnsi="Times New Roman"/>
      <w:i/>
      <w:iCs/>
      <w:color w:val="404040" w:themeColor="text1" w:themeTint="BF"/>
      <w:sz w:val="24"/>
    </w:rPr>
  </w:style>
  <w:style w:type="character" w:styleId="Strong">
    <w:name w:val="Strong"/>
    <w:basedOn w:val="DefaultParagraphFont"/>
    <w:uiPriority w:val="22"/>
    <w:qFormat/>
    <w:rsid w:val="00AB6715"/>
    <w:rPr>
      <w:rFonts w:ascii="Times New Roman" w:hAnsi="Times New Roman"/>
      <w:b/>
      <w:bCs/>
    </w:rPr>
  </w:style>
  <w:style w:type="character" w:styleId="SubtleEmphasis">
    <w:name w:val="Subtle Emphasis"/>
    <w:basedOn w:val="DefaultParagraphFont"/>
    <w:uiPriority w:val="19"/>
    <w:qFormat/>
    <w:rsid w:val="00AB6715"/>
    <w:rPr>
      <w:rFonts w:ascii="Times New Roman" w:hAnsi="Times New Roman"/>
      <w:i/>
      <w:iCs/>
      <w:color w:val="404040" w:themeColor="text1" w:themeTint="BF"/>
    </w:rPr>
  </w:style>
  <w:style w:type="table" w:styleId="TableGrid">
    <w:name w:val="Table Grid"/>
    <w:basedOn w:val="TableNormal"/>
    <w:uiPriority w:val="59"/>
    <w:rsid w:val="00AB6715"/>
    <w:pPr>
      <w:spacing w:after="0" w:line="240" w:lineRule="auto"/>
    </w:pPr>
    <w:rPr>
      <w:rFonts w:asciiTheme="majorHAnsi" w:hAnsiTheme="maj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B6715"/>
    <w:pPr>
      <w:suppressLineNumbers/>
      <w:spacing w:before="240" w:after="360"/>
      <w:jc w:val="center"/>
    </w:pPr>
    <w:rPr>
      <w:rFonts w:cs="Times New Roman"/>
      <w:b/>
      <w:sz w:val="32"/>
      <w:szCs w:val="32"/>
    </w:rPr>
  </w:style>
  <w:style w:type="character" w:customStyle="1" w:styleId="TitleChar">
    <w:name w:val="Title Char"/>
    <w:basedOn w:val="DefaultParagraphFont"/>
    <w:link w:val="Title"/>
    <w:rsid w:val="00AB6715"/>
    <w:rPr>
      <w:rFonts w:ascii="Times New Roman" w:hAnsi="Times New Roman" w:cs="Times New Roman"/>
      <w:b/>
      <w:sz w:val="32"/>
      <w:szCs w:val="32"/>
    </w:rPr>
  </w:style>
  <w:style w:type="paragraph" w:customStyle="1" w:styleId="SupplementaryMaterial">
    <w:name w:val="Supplementary Material"/>
    <w:basedOn w:val="Title"/>
    <w:next w:val="Title"/>
    <w:qFormat/>
    <w:rsid w:val="0001436A"/>
    <w:pPr>
      <w:spacing w:after="120"/>
    </w:pP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41862">
      <w:bodyDiv w:val="1"/>
      <w:marLeft w:val="0"/>
      <w:marRight w:val="0"/>
      <w:marTop w:val="0"/>
      <w:marBottom w:val="0"/>
      <w:divBdr>
        <w:top w:val="none" w:sz="0" w:space="0" w:color="auto"/>
        <w:left w:val="none" w:sz="0" w:space="0" w:color="auto"/>
        <w:bottom w:val="none" w:sz="0" w:space="0" w:color="auto"/>
        <w:right w:val="none" w:sz="0" w:space="0" w:color="auto"/>
      </w:divBdr>
    </w:div>
    <w:div w:id="327366873">
      <w:bodyDiv w:val="1"/>
      <w:marLeft w:val="0"/>
      <w:marRight w:val="0"/>
      <w:marTop w:val="0"/>
      <w:marBottom w:val="0"/>
      <w:divBdr>
        <w:top w:val="none" w:sz="0" w:space="0" w:color="auto"/>
        <w:left w:val="none" w:sz="0" w:space="0" w:color="auto"/>
        <w:bottom w:val="none" w:sz="0" w:space="0" w:color="auto"/>
        <w:right w:val="none" w:sz="0" w:space="0" w:color="auto"/>
      </w:divBdr>
    </w:div>
    <w:div w:id="525218466">
      <w:bodyDiv w:val="1"/>
      <w:marLeft w:val="0"/>
      <w:marRight w:val="0"/>
      <w:marTop w:val="0"/>
      <w:marBottom w:val="0"/>
      <w:divBdr>
        <w:top w:val="none" w:sz="0" w:space="0" w:color="auto"/>
        <w:left w:val="none" w:sz="0" w:space="0" w:color="auto"/>
        <w:bottom w:val="none" w:sz="0" w:space="0" w:color="auto"/>
        <w:right w:val="none" w:sz="0" w:space="0" w:color="auto"/>
      </w:divBdr>
    </w:div>
    <w:div w:id="1513912243">
      <w:bodyDiv w:val="1"/>
      <w:marLeft w:val="0"/>
      <w:marRight w:val="0"/>
      <w:marTop w:val="0"/>
      <w:marBottom w:val="0"/>
      <w:divBdr>
        <w:top w:val="none" w:sz="0" w:space="0" w:color="auto"/>
        <w:left w:val="none" w:sz="0" w:space="0" w:color="auto"/>
        <w:bottom w:val="none" w:sz="0" w:space="0" w:color="auto"/>
        <w:right w:val="none" w:sz="0" w:space="0" w:color="auto"/>
      </w:divBdr>
    </w:div>
    <w:div w:id="1605117551">
      <w:bodyDiv w:val="1"/>
      <w:marLeft w:val="0"/>
      <w:marRight w:val="0"/>
      <w:marTop w:val="0"/>
      <w:marBottom w:val="0"/>
      <w:divBdr>
        <w:top w:val="none" w:sz="0" w:space="0" w:color="auto"/>
        <w:left w:val="none" w:sz="0" w:space="0" w:color="auto"/>
        <w:bottom w:val="none" w:sz="0" w:space="0" w:color="auto"/>
        <w:right w:val="none" w:sz="0" w:space="0" w:color="auto"/>
      </w:divBdr>
    </w:div>
    <w:div w:id="204937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occ.no/atc_ddd_inde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hua.stocco\Documents\Templates\Frontiers_Word_Templates\Supplementary_Materi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61EC4D-363F-4183-9B84-783BE3CC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Supplementary_Material</Template>
  <TotalTime>1</TotalTime>
  <Pages>9</Pages>
  <Words>8739</Words>
  <Characters>48067</Characters>
  <Application>Microsoft Office Word</Application>
  <DocSecurity>0</DocSecurity>
  <Lines>400</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Frontiers Media SA</dc:creator>
  <cp:lastModifiedBy>Hagenbeek, F.A.</cp:lastModifiedBy>
  <cp:revision>3</cp:revision>
  <cp:lastPrinted>2013-10-03T12:51:00Z</cp:lastPrinted>
  <dcterms:created xsi:type="dcterms:W3CDTF">2019-11-28T09:56:00Z</dcterms:created>
  <dcterms:modified xsi:type="dcterms:W3CDTF">2019-11-28T09:57:00Z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904d4837-d87a-3e36-98ac-c52445b01310</vt:lpwstr>
  </property>
  <property fmtid="{D5CDD505-2E9C-101B-9397-08002B2CF9AE}" pid="24" name="Mendeley Citation Style_1">
    <vt:lpwstr>http://www.zotero.org/styles/chicago-author-date</vt:lpwstr>
  </property>
</Properties>
</file>